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B13" w:rsidRDefault="00034B13">
      <w:pPr>
        <w:pStyle w:val="afffffe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lang w:val="en-US" w:eastAsia="zh-CN"/>
        </w:rPr>
        <w:t>87.040</w:t>
      </w:r>
      <w:r>
        <w:fldChar w:fldCharType="end"/>
      </w:r>
      <w:bookmarkEnd w:id="0"/>
    </w:p>
    <w:bookmarkStart w:id="1" w:name="WXFLH"/>
    <w:p w:rsidR="00034B13" w:rsidRDefault="00034B13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lang w:val="en-US" w:eastAsia="zh-CN"/>
        </w:rPr>
        <w:t>G 50</w:t>
      </w:r>
      <w:r>
        <w:fldChar w:fldCharType="end"/>
      </w:r>
      <w:bookmarkEnd w:id="1"/>
    </w:p>
    <w:p w:rsidR="00034B13" w:rsidRDefault="0054016C">
      <w:pPr>
        <w:pStyle w:val="aff4"/>
        <w:framePr w:wrap="around"/>
      </w:pPr>
      <w:r>
        <w:rPr>
          <w:noProof/>
        </w:rPr>
        <w:drawing>
          <wp:inline distT="0" distB="0" distL="0" distR="0">
            <wp:extent cx="1438910" cy="715645"/>
            <wp:effectExtent l="0" t="0" r="8890" b="8255"/>
            <wp:docPr id="1" name="图片 1" descr="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B13" w:rsidRDefault="00034B13">
      <w:pPr>
        <w:pStyle w:val="affb"/>
        <w:framePr w:wrap="around"/>
      </w:pPr>
      <w:r>
        <w:rPr>
          <w:rFonts w:hint="eastAsia"/>
        </w:rPr>
        <w:t>中华人民共和国国家标准</w:t>
      </w:r>
    </w:p>
    <w:p w:rsidR="00034B13" w:rsidRDefault="00034B13">
      <w:pPr>
        <w:pStyle w:val="21"/>
        <w:framePr w:wrap="around"/>
      </w:pPr>
      <w:r>
        <w:rPr>
          <w:rFonts w:ascii="Times New Roman"/>
        </w:rPr>
        <w:t>GB</w:t>
      </w:r>
      <w:bookmarkStart w:id="2" w:name="StdNo1"/>
      <w:r>
        <w:fldChar w:fldCharType="begin">
          <w:ffData>
            <w:name w:val="StdNo1"/>
            <w:enabled/>
            <w:calcOnExit w:val="0"/>
            <w:textInput>
              <w:default w:val="/T ××××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ascii="Times New Roman"/>
          <w:lang w:val="en-US" w:eastAsia="zh-CN"/>
        </w:rPr>
        <w:t>/T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×××××</w:t>
      </w:r>
      <w:r>
        <w:fldChar w:fldCharType="end"/>
      </w:r>
      <w:bookmarkEnd w:id="2"/>
      <w:r>
        <w:t>—</w:t>
      </w:r>
      <w:bookmarkStart w:id="3" w:name="StdNo2"/>
      <w:r>
        <w:fldChar w:fldCharType="begin">
          <w:ffData>
            <w:name w:val="StdNo2"/>
            <w:enabled/>
            <w:calcOnExit w:val="0"/>
            <w:textInput>
              <w:default w:val="××××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lang w:val="en-US" w:eastAsia="zh-CN"/>
        </w:rPr>
        <w:t>××××</w:t>
      </w:r>
      <w:r>
        <w:rPr>
          <w:rFonts w:ascii="Times New Roman"/>
        </w:rPr>
        <w:t xml:space="preserve">/ ISO </w:t>
      </w:r>
      <w:r>
        <w:t>13076:2012</w:t>
      </w:r>
      <w:r>
        <w:fldChar w:fldCharType="end"/>
      </w:r>
      <w:bookmarkEnd w:id="3"/>
    </w:p>
    <w:tbl>
      <w:tblPr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034B13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034B13" w:rsidRDefault="0054016C">
            <w:pPr>
              <w:pStyle w:val="afff4"/>
              <w:framePr w:wrap="around"/>
            </w:pPr>
            <w:bookmarkStart w:id="4" w:name="DT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1521460</wp:posOffset>
                      </wp:positionV>
                      <wp:extent cx="1143000" cy="228600"/>
                      <wp:effectExtent l="0" t="1270" r="3175" b="0"/>
                      <wp:wrapNone/>
                      <wp:docPr id="8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EF3E4" id="DT" o:spid="_x0000_s1026" style="position:absolute;left:0;text-align:left;margin-left:372.8pt;margin-top:119.8pt;width:90pt;height:1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YsSdg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" stroked="f"/>
                  </w:pict>
                </mc:Fallback>
              </mc:AlternateContent>
            </w:r>
            <w:r w:rsidR="00034B13"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034B13">
              <w:instrText xml:space="preserve"> FORMTEXT </w:instrText>
            </w:r>
            <w:r w:rsidR="00034B13">
              <w:fldChar w:fldCharType="separate"/>
            </w:r>
            <w:r w:rsidR="00034B13">
              <w:rPr>
                <w:lang w:val="en-US" w:eastAsia="zh-CN"/>
              </w:rPr>
              <w:t>     </w:t>
            </w:r>
            <w:r w:rsidR="00034B13">
              <w:fldChar w:fldCharType="end"/>
            </w:r>
            <w:bookmarkEnd w:id="4"/>
          </w:p>
        </w:tc>
      </w:tr>
    </w:tbl>
    <w:p w:rsidR="00034B13" w:rsidRDefault="00034B13">
      <w:pPr>
        <w:pStyle w:val="21"/>
        <w:framePr w:wrap="around"/>
      </w:pPr>
    </w:p>
    <w:p w:rsidR="00034B13" w:rsidRDefault="00034B13">
      <w:pPr>
        <w:pStyle w:val="21"/>
        <w:framePr w:wrap="around"/>
      </w:pPr>
    </w:p>
    <w:bookmarkStart w:id="5" w:name="StdName"/>
    <w:p w:rsidR="00034B13" w:rsidRDefault="00034B13">
      <w:pPr>
        <w:pStyle w:val="afff5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lang w:val="en-US" w:eastAsia="zh-CN"/>
        </w:rPr>
        <w:t>色漆和清漆 涂层的目视评定方法和光照条件</w:t>
      </w:r>
      <w:r>
        <w:fldChar w:fldCharType="end"/>
      </w:r>
      <w:bookmarkEnd w:id="5"/>
    </w:p>
    <w:p w:rsidR="00034B13" w:rsidRDefault="00034B13">
      <w:pPr>
        <w:pStyle w:val="afff5"/>
        <w:framePr w:wrap="around"/>
      </w:pPr>
      <w:r>
        <w:rPr>
          <w:rFonts w:ascii="Times New Roman"/>
          <w:sz w:val="28"/>
          <w:szCs w:val="28"/>
        </w:rPr>
        <w:t>Paints and varnishes —</w:t>
      </w:r>
      <w:r>
        <w:rPr>
          <w:rFonts w:ascii="Times New Roman" w:hint="eastAsia"/>
          <w:sz w:val="28"/>
          <w:szCs w:val="28"/>
        </w:rPr>
        <w:t>Lighting and procedure for visual assessments of coatings</w:t>
      </w:r>
    </w:p>
    <w:p w:rsidR="00034B13" w:rsidRDefault="00034B13">
      <w:pPr>
        <w:pStyle w:val="afff7"/>
        <w:framePr w:wrap="around"/>
      </w:pPr>
    </w:p>
    <w:bookmarkStart w:id="6" w:name="YZBS"/>
    <w:p w:rsidR="00034B13" w:rsidRDefault="00034B13">
      <w:pPr>
        <w:pStyle w:val="afff8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 w:rsidR="003A59E6">
        <w:rPr>
          <w:lang w:val="en-US" w:eastAsia="zh-CN"/>
        </w:rPr>
        <w:t>(ISO 13076:</w:t>
      </w:r>
      <w:r>
        <w:rPr>
          <w:lang w:val="en-US" w:eastAsia="zh-CN"/>
        </w:rPr>
        <w:t>2012,IDT)</w:t>
      </w:r>
      <w:r>
        <w:fldChar w:fldCharType="end"/>
      </w:r>
      <w:bookmarkEnd w:id="6"/>
    </w:p>
    <w:tbl>
      <w:tblPr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034B1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54016C" w:rsidRPr="0054016C" w:rsidRDefault="0054016C" w:rsidP="0054016C">
            <w:pPr>
              <w:pStyle w:val="afff9"/>
              <w:framePr w:wrap="around"/>
              <w:rPr>
                <w:rFonts w:hint="eastAsia"/>
                <w:b/>
              </w:rPr>
            </w:pPr>
            <w:r w:rsidRPr="0054016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3175" b="3175"/>
                      <wp:wrapNone/>
                      <wp:docPr id="7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3BBCC" id="RQ" o:spid="_x0000_s1026" style="position:absolute;left:0;text-align:left;margin-left:173.3pt;margin-top:337.15pt;width:150pt;height:20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" stroked="f">
                      <w10:anchorlock/>
                    </v:rect>
                  </w:pict>
                </mc:Fallback>
              </mc:AlternateContent>
            </w:r>
            <w:r w:rsidRPr="0054016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3964305</wp:posOffset>
                      </wp:positionV>
                      <wp:extent cx="1270000" cy="304800"/>
                      <wp:effectExtent l="3175" t="0" r="3175" b="3175"/>
                      <wp:wrapNone/>
                      <wp:docPr id="6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DB19E" id="LB" o:spid="_x0000_s1026" style="position:absolute;left:0;text-align:left;margin-left:193.3pt;margin-top:312.15pt;width:100pt;height:2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" stroked="f"/>
                  </w:pict>
                </mc:Fallback>
              </mc:AlternateContent>
            </w:r>
            <w:r w:rsidRPr="0054016C">
              <w:rPr>
                <w:rFonts w:hint="eastAsia"/>
                <w:b/>
              </w:rPr>
              <w:t>(征求意见稿)</w:t>
            </w:r>
          </w:p>
        </w:tc>
      </w:tr>
      <w:bookmarkStart w:id="7" w:name="WCRQ"/>
      <w:tr w:rsidR="00034B1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034B13" w:rsidRDefault="00034B13">
            <w:pPr>
              <w:pStyle w:val="afffa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（本稿完成日期：201</w:t>
            </w:r>
            <w:r>
              <w:rPr>
                <w:rFonts w:hint="eastAsia"/>
              </w:rPr>
              <w:t>8</w:t>
            </w:r>
            <w:r w:rsidR="0054016C">
              <w:rPr>
                <w:rFonts w:hint="eastAsia"/>
                <w:lang w:val="en-US" w:eastAsia="zh-CN"/>
              </w:rPr>
              <w:t>-4-20</w:t>
            </w:r>
            <w:r>
              <w:rPr>
                <w:rFonts w:hint="eastAsia"/>
                <w:lang w:val="en-US" w:eastAsia="zh-CN"/>
              </w:rPr>
              <w:t>）</w:t>
            </w:r>
            <w:r>
              <w:fldChar w:fldCharType="end"/>
            </w:r>
            <w:bookmarkEnd w:id="7"/>
          </w:p>
        </w:tc>
      </w:tr>
    </w:tbl>
    <w:bookmarkStart w:id="8" w:name="FY"/>
    <w:p w:rsidR="00034B13" w:rsidRDefault="00034B13">
      <w:pPr>
        <w:pStyle w:val="affffff5"/>
        <w:framePr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××××</w:t>
      </w:r>
      <w:r>
        <w:rPr>
          <w:rFonts w:ascii="黑体"/>
        </w:rPr>
        <w:fldChar w:fldCharType="end"/>
      </w:r>
      <w:bookmarkEnd w:id="8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9" w:name="FM"/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××</w:t>
      </w:r>
      <w:r>
        <w:rPr>
          <w:rFonts w:ascii="黑体"/>
        </w:rPr>
        <w:fldChar w:fldCharType="end"/>
      </w:r>
      <w:bookmarkEnd w:id="9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0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××</w:t>
      </w:r>
      <w:r>
        <w:rPr>
          <w:rFonts w:ascii="黑体"/>
        </w:rPr>
        <w:fldChar w:fldCharType="end"/>
      </w:r>
      <w:bookmarkEnd w:id="10"/>
      <w:r>
        <w:rPr>
          <w:rFonts w:hint="eastAsia"/>
        </w:rPr>
        <w:t>发布</w:t>
      </w:r>
      <w:r w:rsidR="0054016C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5" name="直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D86B6" id="直线 10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">
                <w10:wrap anchory="page"/>
                <w10:anchorlock/>
              </v:line>
            </w:pict>
          </mc:Fallback>
        </mc:AlternateContent>
      </w:r>
    </w:p>
    <w:bookmarkStart w:id="11" w:name="SY"/>
    <w:p w:rsidR="00034B13" w:rsidRDefault="00034B13">
      <w:pPr>
        <w:pStyle w:val="affffff6"/>
        <w:framePr w:wrap="around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××××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2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××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3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  <w:lang w:val="en-US" w:eastAsia="zh-CN"/>
        </w:rPr>
        <w:t>××</w:t>
      </w:r>
      <w:r>
        <w:rPr>
          <w:rFonts w:ascii="黑体"/>
        </w:rPr>
        <w:fldChar w:fldCharType="end"/>
      </w:r>
      <w:bookmarkEnd w:id="13"/>
      <w:r>
        <w:rPr>
          <w:rFonts w:hint="eastAsia"/>
        </w:rPr>
        <w:t>实施</w:t>
      </w:r>
    </w:p>
    <w:p w:rsidR="00034B13" w:rsidRDefault="0054016C">
      <w:pPr>
        <w:pStyle w:val="afb"/>
        <w:framePr w:wrap="around"/>
      </w:pPr>
      <w:r>
        <w:rPr>
          <w:noProof/>
        </w:rPr>
        <w:drawing>
          <wp:inline distT="0" distB="0" distL="0" distR="0">
            <wp:extent cx="5033010" cy="715645"/>
            <wp:effectExtent l="0" t="0" r="0" b="8255"/>
            <wp:docPr id="2" name="图片 2" descr="GBSendCl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BSendCle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01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B13" w:rsidRDefault="0054016C">
      <w:pPr>
        <w:pStyle w:val="a8"/>
        <w:sectPr w:rsidR="00034B13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970" t="13970" r="9525" b="5080"/>
                <wp:wrapNone/>
                <wp:docPr id="4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38FD2" id="直线 11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"/>
            </w:pict>
          </mc:Fallback>
        </mc:AlternateContent>
      </w:r>
    </w:p>
    <w:p w:rsidR="00034B13" w:rsidRDefault="00034B13">
      <w:pPr>
        <w:pStyle w:val="afffff6"/>
        <w:rPr>
          <w:rFonts w:hint="eastAsia"/>
        </w:rPr>
      </w:pPr>
      <w:r>
        <w:rPr>
          <w:rFonts w:hint="eastAsia"/>
        </w:rPr>
        <w:lastRenderedPageBreak/>
        <w:t>前</w:t>
      </w:r>
      <w:bookmarkStart w:id="14" w:name="BKQY"/>
      <w:r>
        <w:t>  </w:t>
      </w:r>
      <w:r>
        <w:rPr>
          <w:rFonts w:hint="eastAsia"/>
        </w:rPr>
        <w:t>言</w:t>
      </w:r>
      <w:bookmarkEnd w:id="14"/>
    </w:p>
    <w:p w:rsidR="00034B13" w:rsidRDefault="00034B13">
      <w:pPr>
        <w:pStyle w:val="a8"/>
        <w:rPr>
          <w:rFonts w:hint="eastAsia"/>
          <w:color w:val="000000"/>
        </w:rPr>
      </w:pPr>
      <w:r>
        <w:rPr>
          <w:rFonts w:hint="eastAsia"/>
          <w:color w:val="000000"/>
        </w:rPr>
        <w:t>本标准按照</w:t>
      </w:r>
      <w:r>
        <w:rPr>
          <w:rFonts w:hint="eastAsia"/>
        </w:rPr>
        <w:t>GB/T 1.1</w:t>
      </w:r>
      <w:r>
        <w:rPr>
          <w:rFonts w:hAnsi="宋体" w:hint="eastAsia"/>
        </w:rPr>
        <w:t>—</w:t>
      </w:r>
      <w:r>
        <w:rPr>
          <w:rFonts w:hint="eastAsia"/>
        </w:rPr>
        <w:t>2009</w:t>
      </w:r>
      <w:r>
        <w:rPr>
          <w:rFonts w:hint="eastAsia"/>
          <w:color w:val="000000"/>
        </w:rPr>
        <w:t>给出的规则起草。</w:t>
      </w:r>
    </w:p>
    <w:p w:rsidR="00034B13" w:rsidRDefault="00034B13">
      <w:pPr>
        <w:pStyle w:val="a8"/>
        <w:rPr>
          <w:rFonts w:hint="eastAsia"/>
          <w:color w:val="000000"/>
        </w:rPr>
      </w:pPr>
      <w:r>
        <w:rPr>
          <w:rFonts w:hint="eastAsia"/>
          <w:color w:val="000000"/>
        </w:rPr>
        <w:t>本标准使用翻译法等同采用国际标准ISO 13076:2012《</w:t>
      </w:r>
      <w:r>
        <w:rPr>
          <w:rFonts w:hint="eastAsia"/>
          <w:bCs/>
          <w:color w:val="000000"/>
        </w:rPr>
        <w:t xml:space="preserve">色漆和清漆 </w:t>
      </w:r>
      <w:r>
        <w:rPr>
          <w:rFonts w:hint="eastAsia"/>
          <w:color w:val="000000"/>
          <w:szCs w:val="21"/>
        </w:rPr>
        <w:t>涂层的目视评定方法和光照条件</w:t>
      </w:r>
      <w:r>
        <w:rPr>
          <w:rFonts w:hint="eastAsia"/>
          <w:color w:val="000000"/>
        </w:rPr>
        <w:t>》。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本标准由中国石油和化学工业联合会提出。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本标准由全国涂料和颜料标准化技术委员会(SAC/TC5)归口。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 xml:space="preserve">本标准起草单位： 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本标准主要起草人：</w:t>
      </w:r>
    </w:p>
    <w:p w:rsidR="00034B13" w:rsidRDefault="00034B13">
      <w:pPr>
        <w:pStyle w:val="a8"/>
        <w:sectPr w:rsidR="00034B13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  <w:bookmarkStart w:id="15" w:name="_GoBack"/>
      <w:bookmarkEnd w:id="15"/>
    </w:p>
    <w:p w:rsidR="00034B13" w:rsidRDefault="00034B13">
      <w:pPr>
        <w:pStyle w:val="afff0"/>
        <w:rPr>
          <w:rFonts w:hint="eastAsia"/>
        </w:rPr>
      </w:pPr>
      <w:r>
        <w:rPr>
          <w:rFonts w:hint="eastAsia"/>
          <w:lang w:val="en-US" w:eastAsia="zh-CN"/>
        </w:rPr>
        <w:lastRenderedPageBreak/>
        <w:t>色漆和清漆 涂层的目视评定方法和光照条件</w:t>
      </w:r>
    </w:p>
    <w:p w:rsidR="00034B13" w:rsidRDefault="00034B13">
      <w:pPr>
        <w:pStyle w:val="af9"/>
        <w:rPr>
          <w:rFonts w:hint="eastAsia"/>
        </w:rPr>
      </w:pPr>
      <w:r>
        <w:rPr>
          <w:rFonts w:hint="eastAsia"/>
        </w:rPr>
        <w:t>范围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本</w:t>
      </w:r>
      <w:r>
        <w:t>标准</w:t>
      </w:r>
      <w:r w:rsidR="00D939D3">
        <w:rPr>
          <w:rFonts w:hint="eastAsia"/>
        </w:rPr>
        <w:t>规定了对涂层表面或涂层内部的老化区域、斑点或其它</w:t>
      </w:r>
      <w:r>
        <w:rPr>
          <w:rFonts w:hint="eastAsia"/>
        </w:rPr>
        <w:t>缺陷进行目视评定的方法和光照条件。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本标准</w:t>
      </w:r>
      <w:r>
        <w:t>不</w:t>
      </w:r>
      <w:r w:rsidR="00D939D3">
        <w:rPr>
          <w:rFonts w:hint="eastAsia"/>
        </w:rPr>
        <w:t>适用于目视比色，</w:t>
      </w:r>
      <w:r>
        <w:rPr>
          <w:rFonts w:hint="eastAsia"/>
        </w:rPr>
        <w:t>目视比色可按</w:t>
      </w:r>
      <w:r>
        <w:t>ISO 3668</w:t>
      </w:r>
      <w:r>
        <w:rPr>
          <w:rFonts w:hint="eastAsia"/>
        </w:rPr>
        <w:t>的规定进行</w:t>
      </w:r>
      <w:r>
        <w:t>。</w:t>
      </w:r>
    </w:p>
    <w:p w:rsidR="00034B13" w:rsidRDefault="00034B13">
      <w:pPr>
        <w:pStyle w:val="af9"/>
        <w:rPr>
          <w:rFonts w:hint="eastAsia"/>
        </w:rPr>
      </w:pPr>
      <w:r>
        <w:rPr>
          <w:rFonts w:hint="eastAsia"/>
        </w:rPr>
        <w:t>原则</w:t>
      </w:r>
    </w:p>
    <w:p w:rsidR="00034B13" w:rsidRDefault="00D939D3">
      <w:pPr>
        <w:pStyle w:val="a8"/>
        <w:rPr>
          <w:rFonts w:hint="eastAsia"/>
        </w:rPr>
      </w:pPr>
      <w:r>
        <w:rPr>
          <w:rFonts w:hint="eastAsia"/>
        </w:rPr>
        <w:t>在规定的光照条件下，对样板的老化区域、斑点或其它缺陷</w:t>
      </w:r>
      <w:r w:rsidR="00034B13">
        <w:rPr>
          <w:rFonts w:hint="eastAsia"/>
        </w:rPr>
        <w:t>进行目视评定。</w:t>
      </w:r>
    </w:p>
    <w:p w:rsidR="00034B13" w:rsidRDefault="00034B13">
      <w:pPr>
        <w:pStyle w:val="af9"/>
        <w:rPr>
          <w:rFonts w:hint="eastAsia"/>
        </w:rPr>
      </w:pPr>
      <w:r>
        <w:rPr>
          <w:rFonts w:hint="eastAsia"/>
        </w:rPr>
        <w:t>仪器设备</w:t>
      </w:r>
    </w:p>
    <w:p w:rsidR="00034B13" w:rsidRDefault="00034B13">
      <w:pPr>
        <w:pStyle w:val="af8"/>
        <w:rPr>
          <w:rFonts w:hint="eastAsia"/>
        </w:rPr>
      </w:pPr>
      <w:r>
        <w:rPr>
          <w:rFonts w:hint="eastAsia"/>
        </w:rPr>
        <w:t>日光灯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装有能向下反射光线的</w:t>
      </w:r>
      <w:r>
        <w:t>镀铝反射</w:t>
      </w:r>
      <w:r>
        <w:rPr>
          <w:rFonts w:hint="eastAsia"/>
        </w:rPr>
        <w:t>膜的</w:t>
      </w:r>
      <w:r>
        <w:t>广角光源（见图1），色温为6500K</w:t>
      </w:r>
      <w:r>
        <w:rPr>
          <w:rFonts w:hint="eastAsia"/>
        </w:rPr>
        <w:t>，显色度为9</w:t>
      </w:r>
      <w:r>
        <w:t>（</w:t>
      </w:r>
      <w:r>
        <w:rPr>
          <w:rFonts w:hint="eastAsia"/>
        </w:rPr>
        <w:t>对应于显色等级1A</w:t>
      </w:r>
      <w:r>
        <w:t>，</w:t>
      </w:r>
      <w:r>
        <w:rPr>
          <w:rFonts w:hint="eastAsia"/>
        </w:rPr>
        <w:t>即显色指数</w:t>
      </w:r>
      <w:r>
        <w:t>Ra</w:t>
      </w:r>
      <w:r>
        <w:rPr>
          <w:rFonts w:hint="eastAsia"/>
        </w:rPr>
        <w:t>为</w:t>
      </w:r>
      <w:r>
        <w:t>90</w:t>
      </w:r>
      <w:r>
        <w:rPr>
          <w:rFonts w:hint="eastAsia"/>
        </w:rPr>
        <w:t>～</w:t>
      </w:r>
      <w:r>
        <w:t>100）。</w:t>
      </w:r>
    </w:p>
    <w:p w:rsidR="00034B13" w:rsidRDefault="00034B13">
      <w:pPr>
        <w:pStyle w:val="aff2"/>
        <w:rPr>
          <w:rFonts w:hint="eastAsia"/>
        </w:rPr>
      </w:pPr>
      <w:r>
        <w:rPr>
          <w:rFonts w:hint="eastAsia"/>
        </w:rPr>
        <w:t>该</w:t>
      </w:r>
      <w:r>
        <w:t>色温和</w:t>
      </w:r>
      <w:r>
        <w:rPr>
          <w:rFonts w:hint="eastAsia"/>
        </w:rPr>
        <w:t>显色度对应的灯色为</w:t>
      </w:r>
      <w:r>
        <w:t>965。</w:t>
      </w:r>
    </w:p>
    <w:p w:rsidR="00034B13" w:rsidRDefault="00034B13">
      <w:pPr>
        <w:pStyle w:val="af9"/>
        <w:rPr>
          <w:rFonts w:hint="eastAsia"/>
        </w:rPr>
      </w:pPr>
      <w:r>
        <w:rPr>
          <w:rFonts w:hint="eastAsia"/>
        </w:rPr>
        <w:t>目视评定方法</w:t>
      </w:r>
    </w:p>
    <w:p w:rsidR="00034B13" w:rsidRDefault="00034B13">
      <w:pPr>
        <w:pStyle w:val="af8"/>
        <w:rPr>
          <w:rFonts w:hint="eastAsia"/>
        </w:rPr>
      </w:pPr>
      <w:r>
        <w:rPr>
          <w:rFonts w:hint="eastAsia"/>
        </w:rPr>
        <w:t>总则</w:t>
      </w:r>
    </w:p>
    <w:p w:rsidR="00034B13" w:rsidRDefault="00034B13">
      <w:pPr>
        <w:pStyle w:val="a8"/>
        <w:rPr>
          <w:rFonts w:hint="eastAsia"/>
        </w:rPr>
      </w:pPr>
      <w:r>
        <w:t>自然</w:t>
      </w:r>
      <w:r>
        <w:rPr>
          <w:rFonts w:hint="eastAsia"/>
        </w:rPr>
        <w:t>日光</w:t>
      </w:r>
      <w:r>
        <w:t>或人</w:t>
      </w:r>
      <w:r>
        <w:rPr>
          <w:rFonts w:hint="eastAsia"/>
        </w:rPr>
        <w:t>造日光都可</w:t>
      </w:r>
      <w:r>
        <w:t>用于</w:t>
      </w:r>
      <w:r>
        <w:rPr>
          <w:rFonts w:hint="eastAsia"/>
        </w:rPr>
        <w:t>常规评定</w:t>
      </w:r>
      <w:r>
        <w:t>。</w:t>
      </w:r>
      <w:r>
        <w:rPr>
          <w:rFonts w:hint="eastAsia"/>
        </w:rPr>
        <w:t>由于</w:t>
      </w:r>
      <w:r>
        <w:t>自然</w:t>
      </w:r>
      <w:r>
        <w:rPr>
          <w:rFonts w:hint="eastAsia"/>
        </w:rPr>
        <w:t>日光并不稳定，在</w:t>
      </w:r>
      <w:r>
        <w:t>自然</w:t>
      </w:r>
      <w:r>
        <w:rPr>
          <w:rFonts w:hint="eastAsia"/>
        </w:rPr>
        <w:t>日光下</w:t>
      </w:r>
      <w:r>
        <w:t>评定</w:t>
      </w:r>
      <w:r>
        <w:rPr>
          <w:rFonts w:hint="eastAsia"/>
        </w:rPr>
        <w:t>时</w:t>
      </w:r>
      <w:r>
        <w:t>会受周围环境</w:t>
      </w:r>
      <w:r>
        <w:rPr>
          <w:rFonts w:hint="eastAsia"/>
        </w:rPr>
        <w:t>的影响</w:t>
      </w:r>
      <w:r>
        <w:t>，</w:t>
      </w:r>
      <w:r>
        <w:rPr>
          <w:rFonts w:hint="eastAsia"/>
        </w:rPr>
        <w:t>因此仲裁评定应使用</w:t>
      </w:r>
      <w:r>
        <w:t>精确控制</w:t>
      </w:r>
      <w:r>
        <w:rPr>
          <w:rFonts w:hint="eastAsia"/>
        </w:rPr>
        <w:t>的人造日光。</w:t>
      </w:r>
    </w:p>
    <w:p w:rsidR="00034B13" w:rsidRDefault="00034B13">
      <w:pPr>
        <w:pStyle w:val="af8"/>
        <w:rPr>
          <w:rFonts w:hint="eastAsia"/>
        </w:rPr>
      </w:pPr>
      <w:r>
        <w:rPr>
          <w:rFonts w:hint="eastAsia"/>
        </w:rPr>
        <w:t>自然日光下的评定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评定样板时，最好采用局部多云天气条件下的散射日光，并且样板朝北放置</w:t>
      </w:r>
      <w:r>
        <w:t>(</w:t>
      </w:r>
      <w:r>
        <w:rPr>
          <w:rFonts w:hint="eastAsia"/>
        </w:rPr>
        <w:t>在南半球时样板朝南放置</w:t>
      </w:r>
      <w:r>
        <w:t>）。</w:t>
      </w:r>
      <w:r>
        <w:rPr>
          <w:rFonts w:hint="eastAsia"/>
        </w:rPr>
        <w:t>用</w:t>
      </w:r>
      <w:r>
        <w:t>不</w:t>
      </w:r>
      <w:r>
        <w:rPr>
          <w:rFonts w:hint="eastAsia"/>
        </w:rPr>
        <w:t>低</w:t>
      </w:r>
      <w:r>
        <w:t>于2000</w:t>
      </w:r>
      <w:r w:rsidR="003A59E6">
        <w:t xml:space="preserve"> </w:t>
      </w:r>
      <w:r>
        <w:t>lx</w:t>
      </w:r>
      <w:r>
        <w:rPr>
          <w:rFonts w:hint="eastAsia"/>
        </w:rPr>
        <w:t>的光照度对待评定区域及其周围区域进行均匀照射</w:t>
      </w:r>
      <w:r>
        <w:t>。避免阳光直射。</w:t>
      </w:r>
    </w:p>
    <w:p w:rsidR="00034B13" w:rsidRDefault="00034B13">
      <w:pPr>
        <w:pStyle w:val="af8"/>
        <w:rPr>
          <w:rFonts w:hint="eastAsia"/>
        </w:rPr>
      </w:pPr>
      <w:r>
        <w:rPr>
          <w:rFonts w:hint="eastAsia"/>
        </w:rPr>
        <w:t>人造日光下的评定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在</w:t>
      </w:r>
      <w:r>
        <w:t>3.</w:t>
      </w:r>
      <w:r>
        <w:rPr>
          <w:rFonts w:hint="eastAsia"/>
        </w:rPr>
        <w:t>1规定的人造日光下评定涂膜</w:t>
      </w:r>
      <w:r>
        <w:t>。</w:t>
      </w:r>
      <w:r>
        <w:rPr>
          <w:rFonts w:hint="eastAsia"/>
        </w:rPr>
        <w:t>测试时，</w:t>
      </w:r>
      <w:r w:rsidR="00D939D3">
        <w:rPr>
          <w:rFonts w:hint="eastAsia"/>
        </w:rPr>
        <w:t>离</w:t>
      </w:r>
      <w:r w:rsidR="00D939D3">
        <w:t>光源一定的距离</w:t>
      </w:r>
      <w:r w:rsidR="00D939D3">
        <w:rPr>
          <w:rFonts w:hint="eastAsia"/>
        </w:rPr>
        <w:t>托起样板</w:t>
      </w:r>
      <w:r>
        <w:rPr>
          <w:rFonts w:hint="eastAsia"/>
        </w:rPr>
        <w:t>，使样板表面的光照度不小于</w:t>
      </w:r>
      <w:r>
        <w:t>750 lx (见图 1)</w:t>
      </w:r>
      <w:r>
        <w:rPr>
          <w:rFonts w:hint="eastAsia"/>
        </w:rPr>
        <w:t>。</w:t>
      </w:r>
    </w:p>
    <w:p w:rsidR="00034B13" w:rsidRDefault="00034B13">
      <w:pPr>
        <w:pStyle w:val="a8"/>
      </w:pPr>
      <w:r>
        <w:rPr>
          <w:rFonts w:hint="eastAsia"/>
        </w:rPr>
        <w:t>日光</w:t>
      </w:r>
      <w:r>
        <w:t>灯</w:t>
      </w:r>
      <w:r>
        <w:rPr>
          <w:rFonts w:hint="eastAsia"/>
        </w:rPr>
        <w:t>安装</w:t>
      </w:r>
      <w:r>
        <w:t>后</w:t>
      </w:r>
      <w:r>
        <w:rPr>
          <w:rFonts w:hint="eastAsia"/>
        </w:rPr>
        <w:t>应</w:t>
      </w:r>
      <w:r>
        <w:t>测量</w:t>
      </w:r>
      <w:r>
        <w:rPr>
          <w:rFonts w:hint="eastAsia"/>
        </w:rPr>
        <w:t>光</w:t>
      </w:r>
      <w:r>
        <w:t>照度。</w:t>
      </w:r>
    </w:p>
    <w:p w:rsidR="00034B13" w:rsidRDefault="00034B13">
      <w:pPr>
        <w:pStyle w:val="a8"/>
        <w:rPr>
          <w:rFonts w:hint="eastAsia"/>
          <w:color w:val="000000"/>
        </w:rPr>
      </w:pPr>
      <w:r>
        <w:rPr>
          <w:rFonts w:hint="eastAsia"/>
        </w:rPr>
        <w:t>样板评定时可向任何方向</w:t>
      </w:r>
      <w:r>
        <w:t>倾斜。</w:t>
      </w:r>
      <w:r>
        <w:rPr>
          <w:rFonts w:hint="eastAsia"/>
        </w:rPr>
        <w:t>在</w:t>
      </w:r>
      <w:r w:rsidR="00D939D3">
        <w:rPr>
          <w:rFonts w:hint="eastAsia"/>
        </w:rPr>
        <w:t>灯光</w:t>
      </w:r>
      <w:r w:rsidR="00D939D3">
        <w:t>产生的明暗交界处检查样板，</w:t>
      </w:r>
      <w:r>
        <w:rPr>
          <w:rFonts w:hint="eastAsia"/>
          <w:color w:val="000000"/>
        </w:rPr>
        <w:t>最易识别样板老化区和斑点。</w:t>
      </w:r>
    </w:p>
    <w:p w:rsidR="00034B13" w:rsidRDefault="00034B13">
      <w:pPr>
        <w:pStyle w:val="a8"/>
        <w:rPr>
          <w:rFonts w:hint="eastAsia"/>
        </w:rPr>
      </w:pPr>
      <w:r>
        <w:t>仲裁</w:t>
      </w:r>
      <w:r>
        <w:rPr>
          <w:rFonts w:hint="eastAsia"/>
        </w:rPr>
        <w:t>评定</w:t>
      </w:r>
      <w:r>
        <w:t>应在人</w:t>
      </w:r>
      <w:r>
        <w:rPr>
          <w:rFonts w:hint="eastAsia"/>
        </w:rPr>
        <w:t>造</w:t>
      </w:r>
      <w:r w:rsidR="00D939D3">
        <w:rPr>
          <w:rFonts w:hint="eastAsia"/>
        </w:rPr>
        <w:t>日光</w:t>
      </w:r>
      <w:r>
        <w:t>下进行。</w:t>
      </w:r>
    </w:p>
    <w:p w:rsidR="00034B13" w:rsidRDefault="00034B13">
      <w:pPr>
        <w:pStyle w:val="af9"/>
        <w:rPr>
          <w:rFonts w:hint="eastAsia"/>
        </w:rPr>
      </w:pPr>
      <w:r>
        <w:rPr>
          <w:rFonts w:hint="eastAsia"/>
        </w:rPr>
        <w:t>测试报告</w:t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lastRenderedPageBreak/>
        <w:t>当</w:t>
      </w:r>
      <w:r>
        <w:t>使用</w:t>
      </w:r>
      <w:r>
        <w:rPr>
          <w:rFonts w:hint="eastAsia"/>
        </w:rPr>
        <w:t>本</w:t>
      </w:r>
      <w:r>
        <w:t>标准</w:t>
      </w:r>
      <w:r>
        <w:rPr>
          <w:rFonts w:hint="eastAsia"/>
        </w:rPr>
        <w:t>规定的方法时</w:t>
      </w:r>
      <w:r>
        <w:t>，试</w:t>
      </w:r>
      <w:r>
        <w:rPr>
          <w:rFonts w:hint="eastAsia"/>
        </w:rPr>
        <w:t>验</w:t>
      </w:r>
      <w:r>
        <w:t>报告</w:t>
      </w:r>
      <w:r>
        <w:rPr>
          <w:rFonts w:hint="eastAsia"/>
        </w:rPr>
        <w:t>应</w:t>
      </w:r>
      <w:r w:rsidR="00D939D3">
        <w:rPr>
          <w:rFonts w:hint="eastAsia"/>
        </w:rPr>
        <w:t>增加</w:t>
      </w:r>
      <w:r>
        <w:rPr>
          <w:rFonts w:hint="eastAsia"/>
        </w:rPr>
        <w:t>如下信息</w:t>
      </w:r>
      <w:r>
        <w:t>：</w:t>
      </w:r>
    </w:p>
    <w:p w:rsidR="00034B13" w:rsidRDefault="00034B13">
      <w:pPr>
        <w:pStyle w:val="afff2"/>
        <w:rPr>
          <w:rFonts w:hint="eastAsia"/>
        </w:rPr>
      </w:pPr>
      <w:r>
        <w:rPr>
          <w:rFonts w:hint="eastAsia"/>
        </w:rPr>
        <w:t>注明本</w:t>
      </w:r>
      <w:r>
        <w:t>标准</w:t>
      </w:r>
      <w:r>
        <w:rPr>
          <w:rFonts w:hint="eastAsia"/>
        </w:rPr>
        <w:t>编号</w:t>
      </w:r>
      <w:r w:rsidR="00D939D3">
        <w:rPr>
          <w:rFonts w:hint="eastAsia"/>
        </w:rPr>
        <w:t>（</w:t>
      </w:r>
      <w:r w:rsidR="00D939D3">
        <w:t xml:space="preserve">GB/T </w:t>
      </w:r>
      <w:r w:rsidR="00D939D3">
        <w:t>×××××</w:t>
      </w:r>
      <w:r w:rsidR="00D939D3">
        <w:rPr>
          <w:rFonts w:hint="eastAsia"/>
        </w:rPr>
        <w:t>）</w:t>
      </w:r>
      <w:r>
        <w:rPr>
          <w:rFonts w:hint="eastAsia"/>
        </w:rPr>
        <w:t>；</w:t>
      </w:r>
    </w:p>
    <w:p w:rsidR="00034B13" w:rsidRDefault="00034B13">
      <w:pPr>
        <w:pStyle w:val="afff2"/>
        <w:rPr>
          <w:rFonts w:hint="eastAsia"/>
        </w:rPr>
      </w:pPr>
      <w:r>
        <w:rPr>
          <w:rFonts w:hint="eastAsia"/>
        </w:rPr>
        <w:t>指出评定试板时采用的光源</w:t>
      </w:r>
      <w:r>
        <w:t>类型（</w:t>
      </w:r>
      <w:r>
        <w:rPr>
          <w:rFonts w:hint="eastAsia"/>
        </w:rPr>
        <w:t>自然日光</w:t>
      </w:r>
      <w:r>
        <w:t>或人</w:t>
      </w:r>
      <w:r>
        <w:rPr>
          <w:rFonts w:hint="eastAsia"/>
        </w:rPr>
        <w:t>造光源）；若</w:t>
      </w:r>
      <w:r>
        <w:t>使用人</w:t>
      </w:r>
      <w:r>
        <w:rPr>
          <w:rFonts w:hint="eastAsia"/>
        </w:rPr>
        <w:t>造光源</w:t>
      </w:r>
      <w:r>
        <w:t>，</w:t>
      </w:r>
      <w:r>
        <w:rPr>
          <w:rFonts w:hint="eastAsia"/>
        </w:rPr>
        <w:t>应给出</w:t>
      </w:r>
      <w:r>
        <w:t>光源类型的详细信息。</w:t>
      </w:r>
    </w:p>
    <w:p w:rsidR="00034B13" w:rsidRDefault="0054016C">
      <w:pPr>
        <w:pStyle w:val="afff2"/>
        <w:numPr>
          <w:ilvl w:val="0"/>
          <w:numId w:val="0"/>
        </w:numPr>
        <w:tabs>
          <w:tab w:val="left" w:pos="839"/>
        </w:tabs>
        <w:ind w:left="420"/>
        <w:rPr>
          <w:rFonts w:hint="eastAsia"/>
        </w:rPr>
      </w:pPr>
      <w:r>
        <w:rPr>
          <w:noProof/>
        </w:rPr>
        <w:drawing>
          <wp:inline distT="0" distB="0" distL="0" distR="0">
            <wp:extent cx="3824605" cy="2878455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B13" w:rsidRDefault="00034B13">
      <w:pPr>
        <w:pStyle w:val="a8"/>
        <w:rPr>
          <w:rFonts w:hint="eastAsia"/>
        </w:rPr>
      </w:pPr>
      <w:r>
        <w:rPr>
          <w:rFonts w:hint="eastAsia"/>
        </w:rPr>
        <w:t>说明：</w:t>
      </w:r>
    </w:p>
    <w:p w:rsidR="00034B13" w:rsidRDefault="00034B13">
      <w:pPr>
        <w:pStyle w:val="a8"/>
        <w:ind w:firstLine="360"/>
        <w:rPr>
          <w:rFonts w:hint="eastAsia"/>
        </w:rPr>
      </w:pPr>
      <w:r>
        <w:rPr>
          <w:rFonts w:hint="eastAsia"/>
          <w:sz w:val="18"/>
          <w:szCs w:val="18"/>
        </w:rPr>
        <w:t>1——</w:t>
      </w:r>
      <w:r>
        <w:rPr>
          <w:rFonts w:hint="eastAsia"/>
        </w:rPr>
        <w:t>灯。</w:t>
      </w:r>
    </w:p>
    <w:p w:rsidR="00034B13" w:rsidRDefault="00034B13">
      <w:pPr>
        <w:pStyle w:val="affffff3"/>
        <w:rPr>
          <w:rFonts w:hint="eastAsia"/>
        </w:rPr>
      </w:pPr>
      <w:r>
        <w:t>灯、试</w:t>
      </w:r>
      <w:r>
        <w:rPr>
          <w:rFonts w:hint="eastAsia"/>
        </w:rPr>
        <w:t>板</w:t>
      </w:r>
      <w:r>
        <w:t>和</w:t>
      </w:r>
      <w:r>
        <w:rPr>
          <w:rFonts w:hint="eastAsia"/>
        </w:rPr>
        <w:t>观察人员的位置</w:t>
      </w:r>
    </w:p>
    <w:p w:rsidR="00034B13" w:rsidRDefault="00034B13">
      <w:pPr>
        <w:pStyle w:val="af9"/>
        <w:numPr>
          <w:ilvl w:val="0"/>
          <w:numId w:val="0"/>
        </w:numPr>
        <w:rPr>
          <w:rFonts w:hint="eastAsia"/>
        </w:rPr>
      </w:pPr>
    </w:p>
    <w:p w:rsidR="00034B13" w:rsidRDefault="00034B13">
      <w:pPr>
        <w:pStyle w:val="affff7"/>
      </w:pPr>
    </w:p>
    <w:p w:rsidR="00034B13" w:rsidRDefault="00034B13">
      <w:pPr>
        <w:pStyle w:val="affff0"/>
      </w:pPr>
    </w:p>
    <w:p w:rsidR="00034B13" w:rsidRDefault="00034B13">
      <w:pPr>
        <w:pStyle w:val="afffe"/>
        <w:rPr>
          <w:rFonts w:hint="eastAsia"/>
        </w:rPr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应用示例</w:t>
      </w:r>
    </w:p>
    <w:p w:rsidR="00034B13" w:rsidRDefault="00034B13">
      <w:pPr>
        <w:pStyle w:val="a8"/>
        <w:rPr>
          <w:rFonts w:hint="eastAsia"/>
        </w:rPr>
      </w:pPr>
      <w:bookmarkStart w:id="16" w:name="DW"/>
      <w:bookmarkEnd w:id="16"/>
      <w:r>
        <w:t>表 A.</w:t>
      </w:r>
      <w:r>
        <w:rPr>
          <w:rFonts w:hint="eastAsia"/>
        </w:rPr>
        <w:t>1列出了能使用本标准规定的方法进行目视评定的示例。</w:t>
      </w:r>
    </w:p>
    <w:p w:rsidR="00034B13" w:rsidRDefault="00034B13">
      <w:pPr>
        <w:pStyle w:val="affff1"/>
        <w:spacing w:before="156" w:after="156"/>
      </w:pPr>
      <w:r>
        <w:rPr>
          <w:rFonts w:hint="eastAsia"/>
        </w:rPr>
        <w:t>本标准</w:t>
      </w:r>
      <w:r>
        <w:t>应用</w:t>
      </w:r>
      <w:r>
        <w:rPr>
          <w:rFonts w:hint="eastAsia"/>
        </w:rPr>
        <w:t>示例</w:t>
      </w:r>
    </w:p>
    <w:tbl>
      <w:tblPr>
        <w:tblW w:w="0" w:type="auto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34B13">
        <w:trPr>
          <w:jc w:val="center"/>
        </w:trPr>
        <w:tc>
          <w:tcPr>
            <w:tcW w:w="4261" w:type="dxa"/>
            <w:tcBorders>
              <w:top w:val="single" w:sz="12" w:space="0" w:color="auto"/>
              <w:bottom w:val="single" w:sz="12" w:space="0" w:color="auto"/>
            </w:tcBorders>
          </w:tcPr>
          <w:p w:rsidR="00034B13" w:rsidRDefault="00034B13">
            <w:pPr>
              <w:spacing w:line="360" w:lineRule="auto"/>
              <w:jc w:val="center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333333"/>
                <w:sz w:val="18"/>
                <w:szCs w:val="18"/>
              </w:rPr>
              <w:t>试验</w:t>
            </w:r>
            <w:r>
              <w:rPr>
                <w:rFonts w:ascii="宋体" w:hAnsi="宋体"/>
                <w:color w:val="333333"/>
                <w:sz w:val="18"/>
                <w:szCs w:val="18"/>
              </w:rPr>
              <w:t>方法</w:t>
            </w:r>
          </w:p>
        </w:tc>
        <w:tc>
          <w:tcPr>
            <w:tcW w:w="4261" w:type="dxa"/>
            <w:tcBorders>
              <w:top w:val="single" w:sz="12" w:space="0" w:color="auto"/>
              <w:bottom w:val="single" w:sz="12" w:space="0" w:color="auto"/>
            </w:tcBorders>
          </w:tcPr>
          <w:p w:rsidR="00034B13" w:rsidRDefault="00034B13">
            <w:pPr>
              <w:spacing w:line="360" w:lineRule="auto"/>
              <w:jc w:val="center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标准</w:t>
            </w:r>
          </w:p>
        </w:tc>
      </w:tr>
      <w:tr w:rsidR="00034B13">
        <w:trPr>
          <w:jc w:val="center"/>
        </w:trPr>
        <w:tc>
          <w:tcPr>
            <w:tcW w:w="4261" w:type="dxa"/>
            <w:tcBorders>
              <w:top w:val="single" w:sz="12" w:space="0" w:color="auto"/>
            </w:tcBorders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划格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试验</w:t>
            </w:r>
          </w:p>
        </w:tc>
        <w:tc>
          <w:tcPr>
            <w:tcW w:w="4261" w:type="dxa"/>
            <w:tcBorders>
              <w:top w:val="single" w:sz="12" w:space="0" w:color="auto"/>
            </w:tcBorders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2409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D939D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333333"/>
                <w:sz w:val="18"/>
                <w:szCs w:val="18"/>
              </w:rPr>
              <w:t>耐</w:t>
            </w:r>
            <w:r w:rsidR="00034B13">
              <w:rPr>
                <w:rFonts w:ascii="宋体" w:hAnsi="宋体"/>
                <w:color w:val="333333"/>
                <w:sz w:val="18"/>
                <w:szCs w:val="18"/>
              </w:rPr>
              <w:t>冲击</w:t>
            </w:r>
            <w:r w:rsidR="00034B13">
              <w:rPr>
                <w:rFonts w:ascii="宋体" w:hAnsi="宋体" w:hint="eastAsia"/>
                <w:color w:val="333333"/>
                <w:sz w:val="18"/>
                <w:szCs w:val="18"/>
              </w:rPr>
              <w:t>试验</w:t>
            </w:r>
          </w:p>
        </w:tc>
        <w:tc>
          <w:tcPr>
            <w:tcW w:w="4261" w:type="dxa"/>
          </w:tcPr>
          <w:p w:rsidR="00034B13" w:rsidRDefault="00034B13">
            <w:pPr>
              <w:tabs>
                <w:tab w:val="left" w:pos="705"/>
              </w:tabs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6272-1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6272-2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D939D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333333"/>
                <w:sz w:val="18"/>
                <w:szCs w:val="18"/>
              </w:rPr>
              <w:t>抗石击性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20567-1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20567-2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耐化学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介质</w:t>
            </w:r>
            <w:r>
              <w:rPr>
                <w:rFonts w:ascii="宋体" w:hAnsi="宋体"/>
                <w:color w:val="333333"/>
                <w:sz w:val="18"/>
                <w:szCs w:val="18"/>
              </w:rPr>
              <w:t>性</w:t>
            </w:r>
          </w:p>
        </w:tc>
        <w:tc>
          <w:tcPr>
            <w:tcW w:w="4261" w:type="dxa"/>
          </w:tcPr>
          <w:p w:rsidR="00034B13" w:rsidRDefault="00034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2812-1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2812-2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2812-3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</w:p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2812-4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2812-5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15710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涂膜缺陷</w:t>
            </w:r>
          </w:p>
        </w:tc>
        <w:tc>
          <w:tcPr>
            <w:tcW w:w="4261" w:type="dxa"/>
          </w:tcPr>
          <w:p w:rsidR="00034B13" w:rsidRDefault="00034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4628-2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4628-3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4628-4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</w:p>
          <w:p w:rsidR="00034B13" w:rsidRDefault="00034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4628-5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4628-6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4628-7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</w:p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4628-8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4628-10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耐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擦伤</w:t>
            </w:r>
            <w:r>
              <w:rPr>
                <w:rFonts w:ascii="宋体" w:hAnsi="宋体"/>
                <w:color w:val="333333"/>
                <w:sz w:val="18"/>
                <w:szCs w:val="18"/>
              </w:rPr>
              <w:t>性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1518-1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1518-2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12137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333333"/>
                <w:sz w:val="18"/>
                <w:szCs w:val="18"/>
              </w:rPr>
              <w:t>汽车清洗试验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bookmarkStart w:id="17" w:name="OLE_LINK3"/>
            <w:bookmarkStart w:id="18" w:name="OLE_LINK4"/>
            <w:r>
              <w:rPr>
                <w:rFonts w:ascii="宋体" w:hAnsi="宋体"/>
                <w:kern w:val="0"/>
                <w:sz w:val="18"/>
                <w:szCs w:val="18"/>
              </w:rPr>
              <w:t>ISO 20566</w:t>
            </w:r>
            <w:bookmarkEnd w:id="17"/>
            <w:bookmarkEnd w:id="18"/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弯曲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试验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1519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6860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17132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干燥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试验</w:t>
            </w:r>
          </w:p>
        </w:tc>
        <w:tc>
          <w:tcPr>
            <w:tcW w:w="4261" w:type="dxa"/>
          </w:tcPr>
          <w:p w:rsidR="00034B13" w:rsidRDefault="00034B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9117-1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9117-2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9117-3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</w:p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9117-4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9117-5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ISO 9117-6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333333"/>
                <w:sz w:val="18"/>
                <w:szCs w:val="18"/>
              </w:rPr>
              <w:t>研磨细度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1524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拉开法附着力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试验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4624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 w:hint="eastAsia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333333"/>
                <w:sz w:val="18"/>
                <w:szCs w:val="18"/>
              </w:rPr>
              <w:t>抗流挂性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16862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D939D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color w:val="333333"/>
                <w:sz w:val="18"/>
                <w:szCs w:val="18"/>
              </w:rPr>
              <w:t>与</w:t>
            </w:r>
            <w:r w:rsidR="00034B13">
              <w:rPr>
                <w:rFonts w:ascii="宋体" w:hAnsi="宋体" w:hint="eastAsia"/>
                <w:color w:val="333333"/>
                <w:sz w:val="18"/>
                <w:szCs w:val="18"/>
              </w:rPr>
              <w:t>涂装</w:t>
            </w:r>
            <w:r w:rsidR="00034B13">
              <w:rPr>
                <w:rFonts w:ascii="宋体" w:hAnsi="宋体"/>
                <w:color w:val="333333"/>
                <w:sz w:val="18"/>
                <w:szCs w:val="18"/>
              </w:rPr>
              <w:t>过程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有关</w:t>
            </w:r>
            <w:r>
              <w:rPr>
                <w:rFonts w:ascii="宋体" w:hAnsi="宋体"/>
                <w:color w:val="333333"/>
                <w:sz w:val="18"/>
                <w:szCs w:val="18"/>
              </w:rPr>
              <w:t>的</w:t>
            </w:r>
            <w:r w:rsidR="00034B13">
              <w:rPr>
                <w:rFonts w:ascii="宋体" w:hAnsi="宋体"/>
                <w:color w:val="333333"/>
                <w:sz w:val="18"/>
                <w:szCs w:val="18"/>
              </w:rPr>
              <w:t>涂层体系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性能</w:t>
            </w:r>
            <w:r w:rsidR="00034B13">
              <w:rPr>
                <w:rFonts w:ascii="宋体" w:hAnsi="宋体" w:hint="eastAsia"/>
                <w:color w:val="333333"/>
                <w:sz w:val="18"/>
                <w:szCs w:val="18"/>
              </w:rPr>
              <w:t>评价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28199-3</w:t>
            </w:r>
          </w:p>
        </w:tc>
      </w:tr>
      <w:tr w:rsidR="00034B13">
        <w:trPr>
          <w:jc w:val="center"/>
        </w:trPr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color w:val="333333"/>
                <w:sz w:val="18"/>
                <w:szCs w:val="18"/>
              </w:rPr>
              <w:t>耐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湿</w:t>
            </w:r>
            <w:r>
              <w:rPr>
                <w:rFonts w:ascii="宋体" w:hAnsi="宋体"/>
                <w:color w:val="333333"/>
                <w:sz w:val="18"/>
                <w:szCs w:val="18"/>
              </w:rPr>
              <w:t>擦洗性</w:t>
            </w:r>
          </w:p>
        </w:tc>
        <w:tc>
          <w:tcPr>
            <w:tcW w:w="4261" w:type="dxa"/>
          </w:tcPr>
          <w:p w:rsidR="00034B13" w:rsidRDefault="00034B13">
            <w:pPr>
              <w:spacing w:line="360" w:lineRule="auto"/>
              <w:jc w:val="left"/>
              <w:rPr>
                <w:rFonts w:ascii="宋体" w:hAnsi="宋体"/>
                <w:color w:val="333333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ISO 11998</w:t>
            </w:r>
          </w:p>
        </w:tc>
      </w:tr>
    </w:tbl>
    <w:p w:rsidR="00034B13" w:rsidRDefault="00034B13">
      <w:pPr>
        <w:pStyle w:val="a8"/>
        <w:rPr>
          <w:rFonts w:hint="eastAsia"/>
        </w:rPr>
      </w:pPr>
    </w:p>
    <w:p w:rsidR="00034B13" w:rsidRDefault="00034B13">
      <w:pPr>
        <w:pStyle w:val="aff6"/>
        <w:rPr>
          <w:rFonts w:hint="eastAsia"/>
        </w:rPr>
      </w:pPr>
      <w:bookmarkStart w:id="19" w:name="BKCKWX"/>
      <w:r>
        <w:rPr>
          <w:rFonts w:hint="eastAsia"/>
        </w:rPr>
        <w:lastRenderedPageBreak/>
        <w:t>参</w:t>
      </w:r>
      <w:r>
        <w:t> </w:t>
      </w:r>
      <w:r>
        <w:rPr>
          <w:rFonts w:hint="eastAsia"/>
        </w:rPr>
        <w:t>考</w:t>
      </w:r>
      <w:r>
        <w:t> </w:t>
      </w:r>
      <w:r>
        <w:rPr>
          <w:rFonts w:hint="eastAsia"/>
        </w:rPr>
        <w:t>文</w:t>
      </w:r>
      <w:r>
        <w:t> </w:t>
      </w:r>
      <w:r>
        <w:rPr>
          <w:rFonts w:hint="eastAsia"/>
        </w:rPr>
        <w:t>献</w:t>
      </w:r>
      <w:bookmarkEnd w:id="19"/>
    </w:p>
    <w:p w:rsidR="00034B13" w:rsidRDefault="00034B13">
      <w:pPr>
        <w:pStyle w:val="a8"/>
        <w:rPr>
          <w:rFonts w:cs="Arial-ItalicMT"/>
        </w:rPr>
      </w:pPr>
      <w:r>
        <w:t>[1] ISO 1518</w:t>
      </w:r>
      <w:r>
        <w:rPr>
          <w:rFonts w:eastAsia="MS Mincho" w:cs="MS Mincho" w:hint="eastAsia"/>
        </w:rPr>
        <w:t>‑</w:t>
      </w:r>
      <w:r>
        <w:t xml:space="preserve">1,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scratch resistance </w:t>
      </w:r>
      <w:r>
        <w:rPr>
          <w:rFonts w:cs="Arial-ItalicMT"/>
        </w:rPr>
        <w:t>—</w:t>
      </w:r>
      <w:r>
        <w:rPr>
          <w:rFonts w:cs="Arial-ItalicMT"/>
        </w:rPr>
        <w:t xml:space="preserve"> Part 1: Constant-loading method</w:t>
      </w:r>
    </w:p>
    <w:p w:rsidR="00034B13" w:rsidRDefault="00034B13">
      <w:pPr>
        <w:pStyle w:val="a8"/>
        <w:rPr>
          <w:rFonts w:cs="Arial-ItalicMT"/>
        </w:rPr>
      </w:pPr>
      <w:r>
        <w:t>[2] ISO 1518</w:t>
      </w:r>
      <w:r>
        <w:rPr>
          <w:rFonts w:eastAsia="MS Mincho" w:cs="MS Mincho" w:hint="eastAsia"/>
        </w:rPr>
        <w:t>‑</w:t>
      </w:r>
      <w:r>
        <w:t xml:space="preserve">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scratch resistance </w:t>
      </w:r>
      <w:r>
        <w:rPr>
          <w:rFonts w:cs="Arial-ItalicMT"/>
        </w:rPr>
        <w:t>—</w:t>
      </w:r>
      <w:r>
        <w:rPr>
          <w:rFonts w:cs="Arial-ItalicMT"/>
        </w:rPr>
        <w:t xml:space="preserve"> Part 2: Variable-loading method</w:t>
      </w:r>
    </w:p>
    <w:p w:rsidR="00034B13" w:rsidRDefault="00034B13">
      <w:pPr>
        <w:pStyle w:val="a8"/>
        <w:rPr>
          <w:rFonts w:cs="Arial-ItalicMT"/>
        </w:rPr>
      </w:pPr>
      <w:r>
        <w:t xml:space="preserve">[3] ISO 1519,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Bend test (cylindrical mandrel)</w:t>
      </w:r>
    </w:p>
    <w:p w:rsidR="00034B13" w:rsidRDefault="00034B13">
      <w:pPr>
        <w:pStyle w:val="a8"/>
        <w:rPr>
          <w:rFonts w:cs="Arial-ItalicMT"/>
        </w:rPr>
      </w:pPr>
      <w:r>
        <w:t xml:space="preserve">[4] ISO 1524, </w:t>
      </w:r>
      <w:r>
        <w:rPr>
          <w:rFonts w:cs="Arial-ItalicMT"/>
        </w:rPr>
        <w:t xml:space="preserve">Paints, varnishes and printing inks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fineness of grind</w:t>
      </w:r>
    </w:p>
    <w:p w:rsidR="00034B13" w:rsidRDefault="00034B13">
      <w:pPr>
        <w:pStyle w:val="a8"/>
        <w:rPr>
          <w:rFonts w:cs="Arial-ItalicMT"/>
        </w:rPr>
      </w:pPr>
      <w:r>
        <w:t xml:space="preserve">[5] ISO 2409,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Cross-cut test</w:t>
      </w:r>
    </w:p>
    <w:p w:rsidR="00034B13" w:rsidRDefault="00034B13">
      <w:pPr>
        <w:pStyle w:val="a8"/>
        <w:rPr>
          <w:rFonts w:cs="Arial-ItalicMT"/>
        </w:rPr>
      </w:pPr>
      <w:r>
        <w:t>[6] ISO 2812</w:t>
      </w:r>
      <w:r>
        <w:rPr>
          <w:rFonts w:eastAsia="MS Mincho" w:cs="MS Mincho" w:hint="eastAsia"/>
        </w:rPr>
        <w:t>‑</w:t>
      </w:r>
      <w:r>
        <w:t xml:space="preserve">1,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resistance to liquids </w:t>
      </w:r>
      <w:r>
        <w:rPr>
          <w:rFonts w:cs="Arial-ItalicMT"/>
        </w:rPr>
        <w:t>—</w:t>
      </w:r>
      <w:r>
        <w:rPr>
          <w:rFonts w:cs="Arial-ItalicMT"/>
        </w:rPr>
        <w:t xml:space="preserve"> Part 1: Immersion in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liquids other than water</w:t>
      </w:r>
    </w:p>
    <w:p w:rsidR="00034B13" w:rsidRDefault="00034B13">
      <w:pPr>
        <w:pStyle w:val="a8"/>
        <w:rPr>
          <w:rFonts w:cs="Arial-ItalicMT"/>
        </w:rPr>
      </w:pPr>
      <w:r>
        <w:t>[7] ISO 2812</w:t>
      </w:r>
      <w:r>
        <w:rPr>
          <w:rFonts w:eastAsia="MS Mincho" w:cs="MS Mincho" w:hint="eastAsia"/>
        </w:rPr>
        <w:t>‑</w:t>
      </w:r>
      <w:r>
        <w:t xml:space="preserve">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resistance to liquids </w:t>
      </w:r>
      <w:r>
        <w:rPr>
          <w:rFonts w:cs="Arial-ItalicMT"/>
        </w:rPr>
        <w:t>—</w:t>
      </w:r>
      <w:r>
        <w:rPr>
          <w:rFonts w:cs="Arial-ItalicMT"/>
        </w:rPr>
        <w:t xml:space="preserve"> Part 2: Water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immersion method</w:t>
      </w:r>
    </w:p>
    <w:p w:rsidR="00034B13" w:rsidRDefault="00034B13">
      <w:pPr>
        <w:pStyle w:val="a8"/>
        <w:rPr>
          <w:rFonts w:cs="Arial-ItalicMT"/>
        </w:rPr>
      </w:pPr>
      <w:r>
        <w:t>[8] ISO 2812</w:t>
      </w:r>
      <w:r>
        <w:rPr>
          <w:rFonts w:eastAsia="MS Mincho" w:cs="MS Mincho" w:hint="eastAsia"/>
        </w:rPr>
        <w:t>‑</w:t>
      </w:r>
      <w:r>
        <w:t xml:space="preserve">3,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resistance to liquids </w:t>
      </w:r>
      <w:r>
        <w:rPr>
          <w:rFonts w:cs="Arial-ItalicMT"/>
        </w:rPr>
        <w:t>—</w:t>
      </w:r>
      <w:r>
        <w:rPr>
          <w:rFonts w:cs="Arial-ItalicMT"/>
        </w:rPr>
        <w:t xml:space="preserve"> Part 3: Method using an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absorbent medium</w:t>
      </w:r>
    </w:p>
    <w:p w:rsidR="00034B13" w:rsidRDefault="00034B13">
      <w:pPr>
        <w:pStyle w:val="a8"/>
        <w:rPr>
          <w:rFonts w:cs="Arial-ItalicMT"/>
        </w:rPr>
      </w:pPr>
      <w:r>
        <w:t>[9] ISO 2812</w:t>
      </w:r>
      <w:r>
        <w:rPr>
          <w:rFonts w:eastAsia="MS Mincho" w:cs="MS Mincho" w:hint="eastAsia"/>
        </w:rPr>
        <w:t>‑</w:t>
      </w:r>
      <w:r>
        <w:t xml:space="preserve">4,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resistance to liquids </w:t>
      </w:r>
      <w:r>
        <w:rPr>
          <w:rFonts w:cs="Arial-ItalicMT"/>
        </w:rPr>
        <w:t>—</w:t>
      </w:r>
      <w:r>
        <w:rPr>
          <w:rFonts w:cs="Arial-ItalicMT"/>
        </w:rPr>
        <w:t xml:space="preserve"> Part 4: Spotting methods</w:t>
      </w:r>
    </w:p>
    <w:p w:rsidR="00034B13" w:rsidRDefault="00034B13">
      <w:pPr>
        <w:pStyle w:val="a8"/>
        <w:rPr>
          <w:rFonts w:cs="Arial-ItalicMT"/>
        </w:rPr>
      </w:pPr>
      <w:r>
        <w:t>[10] ISO 2812</w:t>
      </w:r>
      <w:r>
        <w:rPr>
          <w:rFonts w:eastAsia="MS Mincho" w:cs="MS Mincho" w:hint="eastAsia"/>
        </w:rPr>
        <w:t>‑</w:t>
      </w:r>
      <w:r>
        <w:t xml:space="preserve">5,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resistance to liquids </w:t>
      </w:r>
      <w:r>
        <w:rPr>
          <w:rFonts w:cs="Arial-ItalicMT"/>
        </w:rPr>
        <w:t>—</w:t>
      </w:r>
      <w:r>
        <w:rPr>
          <w:rFonts w:cs="Arial-ItalicMT"/>
        </w:rPr>
        <w:t xml:space="preserve"> Part 5: Temperaturegradient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oven method</w:t>
      </w:r>
    </w:p>
    <w:p w:rsidR="00034B13" w:rsidRDefault="00034B13">
      <w:pPr>
        <w:pStyle w:val="a8"/>
        <w:rPr>
          <w:rFonts w:cs="Arial-ItalicMT"/>
        </w:rPr>
      </w:pPr>
      <w:r>
        <w:t xml:space="preserve">[11] ISO 3668,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Visual comparison of the colour of paints</w:t>
      </w:r>
    </w:p>
    <w:p w:rsidR="00034B13" w:rsidRDefault="00034B13">
      <w:pPr>
        <w:pStyle w:val="a8"/>
        <w:rPr>
          <w:rFonts w:cs="Arial-ItalicMT"/>
        </w:rPr>
      </w:pPr>
      <w:r>
        <w:t xml:space="preserve">[12] ISO 4624,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Pull-off test for adhesion</w:t>
      </w:r>
    </w:p>
    <w:p w:rsidR="00034B13" w:rsidRDefault="00034B13">
      <w:pPr>
        <w:pStyle w:val="a8"/>
        <w:rPr>
          <w:rFonts w:cs="Arial-ItalicMT"/>
        </w:rPr>
      </w:pPr>
      <w:r>
        <w:t>[13] ISO 4628</w:t>
      </w:r>
      <w:r>
        <w:rPr>
          <w:rFonts w:eastAsia="MS Mincho" w:cs="MS Mincho" w:hint="eastAsia"/>
        </w:rPr>
        <w:t>‑</w:t>
      </w:r>
      <w:r>
        <w:t xml:space="preserve">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and size of defects, and of intensity of uniform changes in appearance </w:t>
      </w:r>
      <w:r>
        <w:rPr>
          <w:rFonts w:cs="Arial-ItalicMT"/>
        </w:rPr>
        <w:t>—</w:t>
      </w:r>
      <w:r>
        <w:rPr>
          <w:rFonts w:cs="Arial-ItalicMT"/>
        </w:rPr>
        <w:t xml:space="preserve"> Part 2: Assessment of degree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of blistering</w:t>
      </w:r>
    </w:p>
    <w:p w:rsidR="00034B13" w:rsidRDefault="00034B13">
      <w:pPr>
        <w:pStyle w:val="a8"/>
        <w:rPr>
          <w:rFonts w:cs="Arial-ItalicMT"/>
        </w:rPr>
      </w:pPr>
      <w:r>
        <w:t>[14] ISO 4628</w:t>
      </w:r>
      <w:r>
        <w:rPr>
          <w:rFonts w:eastAsia="MS Mincho" w:cs="MS Mincho" w:hint="eastAsia"/>
        </w:rPr>
        <w:t>‑</w:t>
      </w:r>
      <w:r>
        <w:t xml:space="preserve">3,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 and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size of defects, and of intensity of uniform changes in appearance </w:t>
      </w:r>
      <w:r>
        <w:rPr>
          <w:rFonts w:cs="Arial-ItalicMT"/>
        </w:rPr>
        <w:t>—</w:t>
      </w:r>
      <w:r>
        <w:rPr>
          <w:rFonts w:cs="Arial-ItalicMT"/>
        </w:rPr>
        <w:t xml:space="preserve"> Part 3: Assessment of degree of rusting</w:t>
      </w:r>
    </w:p>
    <w:p w:rsidR="00034B13" w:rsidRDefault="00034B13">
      <w:pPr>
        <w:pStyle w:val="a8"/>
        <w:rPr>
          <w:rFonts w:cs="Arial-ItalicMT"/>
        </w:rPr>
      </w:pPr>
      <w:r>
        <w:t>[15] ISO 4628</w:t>
      </w:r>
      <w:r>
        <w:rPr>
          <w:rFonts w:eastAsia="MS Mincho" w:cs="MS Mincho" w:hint="eastAsia"/>
        </w:rPr>
        <w:t>‑</w:t>
      </w:r>
      <w:r>
        <w:t xml:space="preserve">4,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and size of defects, and of intensity of uniform changes in appearance </w:t>
      </w:r>
      <w:r>
        <w:rPr>
          <w:rFonts w:cs="Arial-ItalicMT"/>
        </w:rPr>
        <w:t>—</w:t>
      </w:r>
      <w:r>
        <w:rPr>
          <w:rFonts w:cs="Arial-ItalicMT"/>
        </w:rPr>
        <w:t xml:space="preserve"> Part 4: Assessment of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degree of cracking</w:t>
      </w:r>
    </w:p>
    <w:p w:rsidR="00034B13" w:rsidRDefault="00034B13">
      <w:pPr>
        <w:pStyle w:val="a8"/>
        <w:rPr>
          <w:rFonts w:cs="Arial-ItalicMT"/>
        </w:rPr>
      </w:pPr>
      <w:r>
        <w:t>[16] ISO 4628</w:t>
      </w:r>
      <w:r>
        <w:rPr>
          <w:rFonts w:eastAsia="MS Mincho" w:cs="MS Mincho" w:hint="eastAsia"/>
        </w:rPr>
        <w:t>‑</w:t>
      </w:r>
      <w:r>
        <w:t xml:space="preserve">5,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 and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size of defects, and of intensity of uniform changes in appearance </w:t>
      </w:r>
      <w:r>
        <w:rPr>
          <w:rFonts w:cs="Arial-ItalicMT"/>
        </w:rPr>
        <w:t>—</w:t>
      </w:r>
      <w:r>
        <w:rPr>
          <w:rFonts w:cs="Arial-ItalicMT"/>
        </w:rPr>
        <w:t xml:space="preserve"> Part 5: Assessment of degree of flaking</w:t>
      </w:r>
    </w:p>
    <w:p w:rsidR="00034B13" w:rsidRDefault="00034B13">
      <w:pPr>
        <w:pStyle w:val="a8"/>
        <w:rPr>
          <w:rFonts w:cs="Arial-ItalicMT"/>
        </w:rPr>
      </w:pPr>
      <w:r>
        <w:t>[17] ISO 4628</w:t>
      </w:r>
      <w:r>
        <w:rPr>
          <w:rFonts w:eastAsia="MS Mincho" w:cs="MS Mincho" w:hint="eastAsia"/>
        </w:rPr>
        <w:t>‑</w:t>
      </w:r>
      <w:r>
        <w:t xml:space="preserve">6,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and size of defects, and of intensity of uniform changes in appearance </w:t>
      </w:r>
      <w:r>
        <w:rPr>
          <w:rFonts w:cs="Arial-ItalicMT"/>
        </w:rPr>
        <w:t>—</w:t>
      </w:r>
      <w:r>
        <w:rPr>
          <w:rFonts w:cs="Arial-ItalicMT"/>
        </w:rPr>
        <w:t xml:space="preserve"> Part 6: Assessment of degree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of chalking by tape method</w:t>
      </w:r>
    </w:p>
    <w:p w:rsidR="00034B13" w:rsidRDefault="00034B13">
      <w:pPr>
        <w:pStyle w:val="a8"/>
        <w:rPr>
          <w:rFonts w:cs="Arial-ItalicMT"/>
        </w:rPr>
      </w:pPr>
      <w:r>
        <w:t>[18] ISO 4628</w:t>
      </w:r>
      <w:r>
        <w:rPr>
          <w:rFonts w:eastAsia="MS Mincho" w:cs="MS Mincho" w:hint="eastAsia"/>
        </w:rPr>
        <w:t>‑</w:t>
      </w:r>
      <w:r>
        <w:t xml:space="preserve">7,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and size of defects, and of intensity of uniform changes in appearance </w:t>
      </w:r>
      <w:r>
        <w:rPr>
          <w:rFonts w:cs="Arial-ItalicMT"/>
        </w:rPr>
        <w:t>—</w:t>
      </w:r>
      <w:r>
        <w:rPr>
          <w:rFonts w:cs="Arial-ItalicMT"/>
        </w:rPr>
        <w:t xml:space="preserve"> Part 7: Assessment of degree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of chalking by velvet method</w:t>
      </w:r>
    </w:p>
    <w:p w:rsidR="00034B13" w:rsidRDefault="00034B13">
      <w:pPr>
        <w:pStyle w:val="a8"/>
        <w:rPr>
          <w:rFonts w:cs="Arial-ItalicMT"/>
        </w:rPr>
      </w:pPr>
      <w:r>
        <w:t>[19] ISO 4628</w:t>
      </w:r>
      <w:r>
        <w:rPr>
          <w:rFonts w:eastAsia="MS Mincho" w:cs="MS Mincho" w:hint="eastAsia"/>
        </w:rPr>
        <w:t>‑</w:t>
      </w:r>
      <w:r>
        <w:t xml:space="preserve">8,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and size of defects, and of intensity of uniform changes in appearance </w:t>
      </w:r>
      <w:r>
        <w:rPr>
          <w:rFonts w:cs="Arial-ItalicMT"/>
        </w:rPr>
        <w:lastRenderedPageBreak/>
        <w:t>—</w:t>
      </w:r>
      <w:r>
        <w:rPr>
          <w:rFonts w:cs="Arial-ItalicMT"/>
        </w:rPr>
        <w:t xml:space="preserve"> Part 8: Assessment of degree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of delamination and corrosion around a scribe or other artificial defect</w:t>
      </w:r>
    </w:p>
    <w:p w:rsidR="00034B13" w:rsidRDefault="00034B13">
      <w:pPr>
        <w:pStyle w:val="a8"/>
        <w:rPr>
          <w:rFonts w:cs="Arial-ItalicMT" w:hint="eastAsia"/>
        </w:rPr>
      </w:pPr>
      <w:r>
        <w:t>[20] ISO 4628</w:t>
      </w:r>
      <w:r>
        <w:rPr>
          <w:rFonts w:eastAsia="MS Mincho" w:cs="MS Mincho" w:hint="eastAsia"/>
        </w:rPr>
        <w:t>‑</w:t>
      </w:r>
      <w:r>
        <w:t xml:space="preserve">10,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degradation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Designation of quantity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and size of defects, and of intensity of uniform changes in appearance </w:t>
      </w:r>
      <w:r>
        <w:rPr>
          <w:rFonts w:cs="Arial-ItalicMT"/>
        </w:rPr>
        <w:t>—</w:t>
      </w:r>
      <w:r>
        <w:rPr>
          <w:rFonts w:cs="Arial-ItalicMT"/>
        </w:rPr>
        <w:t xml:space="preserve"> Part 10: Assessment of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degree of filiform corrosion</w:t>
      </w:r>
    </w:p>
    <w:p w:rsidR="00034B13" w:rsidRDefault="00034B13">
      <w:pPr>
        <w:pStyle w:val="a8"/>
        <w:rPr>
          <w:rFonts w:cs="Arial-ItalicMT"/>
        </w:rPr>
      </w:pPr>
      <w:r>
        <w:t>[21] ISO 6272</w:t>
      </w:r>
      <w:r>
        <w:rPr>
          <w:rFonts w:eastAsia="MS Mincho" w:cs="MS Mincho" w:hint="eastAsia"/>
        </w:rPr>
        <w:t>‑</w:t>
      </w:r>
      <w:r>
        <w:t xml:space="preserve">1,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Rapid-deformation (impact resistance)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1: Falling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weight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test, large-area indenter</w:t>
      </w:r>
    </w:p>
    <w:p w:rsidR="00034B13" w:rsidRDefault="00034B13">
      <w:pPr>
        <w:pStyle w:val="a8"/>
        <w:rPr>
          <w:rFonts w:cs="Arial-ItalicMT"/>
        </w:rPr>
      </w:pPr>
      <w:r>
        <w:t>[22] ISO 6272</w:t>
      </w:r>
      <w:r>
        <w:rPr>
          <w:rFonts w:eastAsia="MS Mincho" w:cs="MS Mincho" w:hint="eastAsia"/>
        </w:rPr>
        <w:t>‑</w:t>
      </w:r>
      <w:r>
        <w:t xml:space="preserve">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Rapid-deformation (impact resistance)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2: Falling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weight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test, small-area indenter</w:t>
      </w:r>
    </w:p>
    <w:p w:rsidR="00034B13" w:rsidRDefault="00034B13">
      <w:pPr>
        <w:pStyle w:val="a8"/>
        <w:rPr>
          <w:rFonts w:cs="Arial-ItalicMT"/>
        </w:rPr>
      </w:pPr>
      <w:r>
        <w:t xml:space="preserve">[23] ISO 6860,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Bend test (conical mandrel)</w:t>
      </w:r>
    </w:p>
    <w:p w:rsidR="00034B13" w:rsidRDefault="00034B13">
      <w:pPr>
        <w:pStyle w:val="a8"/>
        <w:rPr>
          <w:rFonts w:cs="Arial-ItalicMT"/>
        </w:rPr>
      </w:pPr>
      <w:r>
        <w:t>[24] ISO 9117</w:t>
      </w:r>
      <w:r>
        <w:rPr>
          <w:rFonts w:eastAsia="MS Mincho" w:cs="MS Mincho" w:hint="eastAsia"/>
        </w:rPr>
        <w:t>‑</w:t>
      </w:r>
      <w:r>
        <w:t xml:space="preserve">1,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Drying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1: Determination of through-dry state and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through-dry time</w:t>
      </w:r>
    </w:p>
    <w:p w:rsidR="00034B13" w:rsidRDefault="00034B13">
      <w:pPr>
        <w:pStyle w:val="a8"/>
        <w:rPr>
          <w:rFonts w:cs="Arial-ItalicMT"/>
        </w:rPr>
      </w:pPr>
      <w:r>
        <w:t>[25] ISO 9117</w:t>
      </w:r>
      <w:r>
        <w:rPr>
          <w:rFonts w:eastAsia="MS Mincho" w:cs="MS Mincho" w:hint="eastAsia"/>
        </w:rPr>
        <w:t>‑</w:t>
      </w:r>
      <w:r>
        <w:t xml:space="preserve">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Drying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2: Pressure test for stackability</w:t>
      </w:r>
    </w:p>
    <w:p w:rsidR="00034B13" w:rsidRDefault="00034B13">
      <w:pPr>
        <w:pStyle w:val="a8"/>
        <w:rPr>
          <w:rFonts w:cs="Arial-ItalicMT"/>
        </w:rPr>
      </w:pPr>
      <w:r>
        <w:t>[26] ISO 9117</w:t>
      </w:r>
      <w:r>
        <w:rPr>
          <w:rFonts w:eastAsia="MS Mincho" w:cs="MS Mincho" w:hint="eastAsia"/>
        </w:rPr>
        <w:t>‑</w:t>
      </w:r>
      <w:r>
        <w:t xml:space="preserve">3,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Drying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3: Surface-drying test using ballotini</w:t>
      </w:r>
    </w:p>
    <w:p w:rsidR="00034B13" w:rsidRDefault="00034B13">
      <w:pPr>
        <w:pStyle w:val="a8"/>
        <w:rPr>
          <w:rFonts w:cs="Arial-ItalicMT"/>
        </w:rPr>
      </w:pPr>
      <w:r>
        <w:t>[27] ISO 9117</w:t>
      </w:r>
      <w:r>
        <w:rPr>
          <w:rFonts w:eastAsia="MS Mincho" w:cs="MS Mincho" w:hint="eastAsia"/>
        </w:rPr>
        <w:t>‑</w:t>
      </w:r>
      <w:r>
        <w:t xml:space="preserve">4,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Drying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4: Test using a mechanical recorder</w:t>
      </w:r>
    </w:p>
    <w:p w:rsidR="00034B13" w:rsidRDefault="00034B13">
      <w:pPr>
        <w:pStyle w:val="a8"/>
        <w:rPr>
          <w:rFonts w:cs="Arial-ItalicMT"/>
        </w:rPr>
      </w:pPr>
      <w:r>
        <w:t>[28] ISO 9117</w:t>
      </w:r>
      <w:r>
        <w:rPr>
          <w:rFonts w:eastAsia="MS Mincho" w:cs="MS Mincho" w:hint="eastAsia"/>
        </w:rPr>
        <w:t>‑</w:t>
      </w:r>
      <w:r>
        <w:t xml:space="preserve">5,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Drying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5: Modified Bandow-Wolff test</w:t>
      </w:r>
    </w:p>
    <w:p w:rsidR="00034B13" w:rsidRDefault="00034B13">
      <w:pPr>
        <w:pStyle w:val="a8"/>
        <w:rPr>
          <w:rFonts w:cs="Arial-ItalicMT"/>
        </w:rPr>
      </w:pPr>
      <w:r>
        <w:t>[29] ISO 9117</w:t>
      </w:r>
      <w:r>
        <w:rPr>
          <w:rFonts w:eastAsia="MS Mincho" w:cs="MS Mincho" w:hint="eastAsia"/>
        </w:rPr>
        <w:t>‑</w:t>
      </w:r>
      <w:r>
        <w:t xml:space="preserve">6,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Drying tests </w:t>
      </w:r>
      <w:r>
        <w:rPr>
          <w:rFonts w:cs="Arial-ItalicMT"/>
        </w:rPr>
        <w:t>—</w:t>
      </w:r>
      <w:r>
        <w:rPr>
          <w:rFonts w:cs="Arial-ItalicMT"/>
        </w:rPr>
        <w:t xml:space="preserve"> Part 6: Print-free test</w:t>
      </w:r>
    </w:p>
    <w:p w:rsidR="00034B13" w:rsidRDefault="00034B13">
      <w:pPr>
        <w:pStyle w:val="a8"/>
        <w:rPr>
          <w:rFonts w:cs="Arial-ItalicMT"/>
        </w:rPr>
      </w:pPr>
      <w:r>
        <w:t xml:space="preserve">[30] ISO 11998,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wet-scrub resistance and cleanability of coatings</w:t>
      </w:r>
    </w:p>
    <w:p w:rsidR="00034B13" w:rsidRDefault="00034B13">
      <w:pPr>
        <w:pStyle w:val="a8"/>
        <w:rPr>
          <w:rFonts w:cs="Arial-ItalicMT"/>
        </w:rPr>
      </w:pPr>
      <w:r>
        <w:t xml:space="preserve">[31] ISO 12137,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mar resistance</w:t>
      </w:r>
    </w:p>
    <w:p w:rsidR="00034B13" w:rsidRDefault="00034B13">
      <w:pPr>
        <w:pStyle w:val="a8"/>
        <w:rPr>
          <w:rFonts w:cs="Arial-ItalicMT"/>
        </w:rPr>
      </w:pPr>
      <w:r>
        <w:t xml:space="preserve">[32] ISO 15710,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Corrosion testing by alternate immersion in and removal from a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buffered sodium chloride solution</w:t>
      </w:r>
    </w:p>
    <w:p w:rsidR="00034B13" w:rsidRDefault="00034B13">
      <w:pPr>
        <w:pStyle w:val="a8"/>
        <w:rPr>
          <w:rFonts w:cs="Arial-ItalicMT"/>
        </w:rPr>
      </w:pPr>
      <w:r>
        <w:t xml:space="preserve">[33] ISO 16862,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sag resistance</w:t>
      </w:r>
    </w:p>
    <w:p w:rsidR="00034B13" w:rsidRDefault="00034B13">
      <w:pPr>
        <w:pStyle w:val="a8"/>
        <w:rPr>
          <w:rFonts w:cs="Arial-ItalicMT"/>
        </w:rPr>
      </w:pPr>
      <w:r>
        <w:t xml:space="preserve">[34] ISO 17132,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T</w:t>
      </w:r>
      <w:r>
        <w:rPr>
          <w:rFonts w:eastAsia="MS Mincho" w:cs="MS Mincho" w:hint="eastAsia"/>
        </w:rPr>
        <w:t>‑</w:t>
      </w:r>
      <w:r>
        <w:rPr>
          <w:rFonts w:cs="Arial-ItalicMT"/>
        </w:rPr>
        <w:t>bend test</w:t>
      </w:r>
    </w:p>
    <w:p w:rsidR="00034B13" w:rsidRDefault="00034B13">
      <w:pPr>
        <w:pStyle w:val="a8"/>
        <w:rPr>
          <w:rFonts w:cs="Arial-ItalicMT"/>
        </w:rPr>
      </w:pPr>
      <w:r>
        <w:t xml:space="preserve">[35] ISO 20566,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the scratch resistance of a coating system using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a laboratory-scale car-wash</w:t>
      </w:r>
    </w:p>
    <w:p w:rsidR="00034B13" w:rsidRDefault="00034B13">
      <w:pPr>
        <w:pStyle w:val="a8"/>
        <w:rPr>
          <w:rFonts w:cs="Arial-ItalicMT"/>
        </w:rPr>
      </w:pPr>
      <w:r>
        <w:t>[36] ISO 20567</w:t>
      </w:r>
      <w:r>
        <w:rPr>
          <w:rFonts w:eastAsia="MS Mincho" w:cs="MS Mincho" w:hint="eastAsia"/>
        </w:rPr>
        <w:t>‑</w:t>
      </w:r>
      <w:r>
        <w:t xml:space="preserve">1,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stone-chip resistance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Part 1: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Multi-impact testing</w:t>
      </w:r>
    </w:p>
    <w:p w:rsidR="00034B13" w:rsidRDefault="00034B13">
      <w:pPr>
        <w:pStyle w:val="a8"/>
        <w:rPr>
          <w:rFonts w:cs="Arial-ItalicMT"/>
        </w:rPr>
      </w:pPr>
      <w:r>
        <w:t>[37] ISO 20567</w:t>
      </w:r>
      <w:r>
        <w:rPr>
          <w:rFonts w:eastAsia="MS Mincho" w:cs="MS Mincho" w:hint="eastAsia"/>
        </w:rPr>
        <w:t>‑</w:t>
      </w:r>
      <w:r>
        <w:t xml:space="preserve">2,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Determination of stone-chip resistance of coatings </w:t>
      </w:r>
      <w:r>
        <w:rPr>
          <w:rFonts w:cs="Arial-ItalicMT"/>
        </w:rPr>
        <w:t>—</w:t>
      </w:r>
      <w:r>
        <w:rPr>
          <w:rFonts w:cs="Arial-ItalicMT"/>
        </w:rPr>
        <w:t xml:space="preserve"> Part 2: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>Single-impact test with a guided impact body</w:t>
      </w:r>
    </w:p>
    <w:p w:rsidR="00034B13" w:rsidRDefault="00034B13">
      <w:pPr>
        <w:pStyle w:val="a8"/>
      </w:pPr>
      <w:r>
        <w:t>[38] ISO 28199</w:t>
      </w:r>
      <w:r>
        <w:rPr>
          <w:rFonts w:eastAsia="MS Mincho" w:cs="MS Mincho" w:hint="eastAsia"/>
        </w:rPr>
        <w:t>‑</w:t>
      </w:r>
      <w:r>
        <w:t xml:space="preserve">3, </w:t>
      </w:r>
      <w:r>
        <w:rPr>
          <w:rFonts w:cs="Arial-ItalicMT"/>
        </w:rPr>
        <w:t xml:space="preserve">Paints and varnishes </w:t>
      </w:r>
      <w:r>
        <w:rPr>
          <w:rFonts w:cs="Arial-ItalicMT"/>
        </w:rPr>
        <w:t>—</w:t>
      </w:r>
      <w:r>
        <w:rPr>
          <w:rFonts w:cs="Arial-ItalicMT"/>
        </w:rPr>
        <w:t xml:space="preserve"> Evaluation of properties of coating systems related to the application</w:t>
      </w:r>
      <w:r>
        <w:rPr>
          <w:rFonts w:cs="Arial-ItalicMT" w:hint="eastAsia"/>
        </w:rPr>
        <w:t xml:space="preserve"> </w:t>
      </w:r>
      <w:r>
        <w:rPr>
          <w:rFonts w:cs="Arial-ItalicMT"/>
        </w:rPr>
        <w:t xml:space="preserve">process </w:t>
      </w:r>
      <w:r>
        <w:rPr>
          <w:rFonts w:cs="Arial-ItalicMT"/>
        </w:rPr>
        <w:t>—</w:t>
      </w:r>
      <w:r>
        <w:rPr>
          <w:rFonts w:cs="Arial-ItalicMT"/>
        </w:rPr>
        <w:t xml:space="preserve"> Part 3: Visual assessment of sagging, formation of bubbles, pinholing and hiding power</w:t>
      </w:r>
    </w:p>
    <w:p w:rsidR="00034B13" w:rsidRDefault="00034B13">
      <w:pPr>
        <w:pStyle w:val="affffff4"/>
        <w:framePr w:wrap="around"/>
        <w:rPr>
          <w:rFonts w:hint="eastAsia"/>
        </w:rPr>
      </w:pPr>
      <w:r>
        <w:t>_________________________________</w:t>
      </w:r>
    </w:p>
    <w:sectPr w:rsidR="00034B13"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EA5" w:rsidRDefault="00EE2EA5">
      <w:r>
        <w:separator/>
      </w:r>
    </w:p>
  </w:endnote>
  <w:endnote w:type="continuationSeparator" w:id="0">
    <w:p w:rsidR="00EE2EA5" w:rsidRDefault="00EE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ItalicMT">
    <w:altName w:val="新宋体"/>
    <w:charset w:val="00"/>
    <w:family w:val="swiss"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13" w:rsidRDefault="00034B13">
    <w:pPr>
      <w:pStyle w:val="afa"/>
    </w:pPr>
    <w:r>
      <w:fldChar w:fldCharType="begin"/>
    </w:r>
    <w:r>
      <w:instrText xml:space="preserve"> PAGE  \* MERGEFORMAT </w:instrText>
    </w:r>
    <w:r>
      <w:fldChar w:fldCharType="separate"/>
    </w:r>
    <w:r w:rsidR="0054016C" w:rsidRPr="0054016C">
      <w:rPr>
        <w:noProof/>
        <w:lang w:val="en-US" w:eastAsia="zh-CN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EA5" w:rsidRDefault="00EE2EA5">
      <w:r>
        <w:separator/>
      </w:r>
    </w:p>
  </w:footnote>
  <w:footnote w:type="continuationSeparator" w:id="0">
    <w:p w:rsidR="00EE2EA5" w:rsidRDefault="00EE2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13" w:rsidRDefault="00034B13">
    <w:pPr>
      <w:pStyle w:val="aff0"/>
      <w:wordWrap w:val="0"/>
      <w:rPr>
        <w:rFonts w:hint="eastAsia"/>
      </w:rPr>
    </w:pPr>
    <w:r>
      <w:t xml:space="preserve">GB/T </w:t>
    </w:r>
    <w:r>
      <w:t>×××××—××××</w:t>
    </w:r>
    <w:r>
      <w:rPr>
        <w:rFonts w:hint="eastAsia"/>
      </w:rPr>
      <w:t>/ISO 13076:2012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102AD"/>
    <w:multiLevelType w:val="multilevel"/>
    <w:tmpl w:val="079102AD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>
      <w:start w:val="1"/>
      <w:numFmt w:val="none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>
      <w:start w:val="1"/>
      <w:numFmt w:val="decimal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9"/>
  </w:num>
  <w:num w:numId="6">
    <w:abstractNumId w:val="16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3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6C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25EA"/>
    <w:rsid w:val="00034B13"/>
    <w:rsid w:val="00035925"/>
    <w:rsid w:val="00055371"/>
    <w:rsid w:val="000607A3"/>
    <w:rsid w:val="000657F7"/>
    <w:rsid w:val="00067CDF"/>
    <w:rsid w:val="00074FBE"/>
    <w:rsid w:val="00083A09"/>
    <w:rsid w:val="0009005E"/>
    <w:rsid w:val="00092001"/>
    <w:rsid w:val="00092857"/>
    <w:rsid w:val="000979D9"/>
    <w:rsid w:val="000A20A9"/>
    <w:rsid w:val="000A2D33"/>
    <w:rsid w:val="000A48B1"/>
    <w:rsid w:val="000B3143"/>
    <w:rsid w:val="000B405D"/>
    <w:rsid w:val="000C6B05"/>
    <w:rsid w:val="000C6DD6"/>
    <w:rsid w:val="000C73D4"/>
    <w:rsid w:val="000D3D4C"/>
    <w:rsid w:val="000D4F51"/>
    <w:rsid w:val="000D718B"/>
    <w:rsid w:val="000E0C46"/>
    <w:rsid w:val="000E15EE"/>
    <w:rsid w:val="000F030C"/>
    <w:rsid w:val="000F129C"/>
    <w:rsid w:val="001056DE"/>
    <w:rsid w:val="001124C0"/>
    <w:rsid w:val="0013175F"/>
    <w:rsid w:val="0013364D"/>
    <w:rsid w:val="001343BB"/>
    <w:rsid w:val="001512B4"/>
    <w:rsid w:val="001620A5"/>
    <w:rsid w:val="00164E53"/>
    <w:rsid w:val="0016699D"/>
    <w:rsid w:val="00175159"/>
    <w:rsid w:val="00176208"/>
    <w:rsid w:val="0017780C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3689"/>
    <w:rsid w:val="001C47BA"/>
    <w:rsid w:val="001C59EA"/>
    <w:rsid w:val="001D406C"/>
    <w:rsid w:val="001D41EE"/>
    <w:rsid w:val="001D4BEB"/>
    <w:rsid w:val="001E0380"/>
    <w:rsid w:val="001E13B1"/>
    <w:rsid w:val="001F3A19"/>
    <w:rsid w:val="002009E4"/>
    <w:rsid w:val="00201053"/>
    <w:rsid w:val="0020251B"/>
    <w:rsid w:val="0022185E"/>
    <w:rsid w:val="00234467"/>
    <w:rsid w:val="00237D8D"/>
    <w:rsid w:val="00241DA2"/>
    <w:rsid w:val="00247FEE"/>
    <w:rsid w:val="00250E7D"/>
    <w:rsid w:val="002527DD"/>
    <w:rsid w:val="002565D5"/>
    <w:rsid w:val="002622C0"/>
    <w:rsid w:val="002778AE"/>
    <w:rsid w:val="0028269A"/>
    <w:rsid w:val="00283590"/>
    <w:rsid w:val="00286973"/>
    <w:rsid w:val="00294E70"/>
    <w:rsid w:val="002954B8"/>
    <w:rsid w:val="002A1924"/>
    <w:rsid w:val="002A7420"/>
    <w:rsid w:val="002A7A7E"/>
    <w:rsid w:val="002B0F12"/>
    <w:rsid w:val="002B1308"/>
    <w:rsid w:val="002B4554"/>
    <w:rsid w:val="002B707C"/>
    <w:rsid w:val="002C72D8"/>
    <w:rsid w:val="002D11FA"/>
    <w:rsid w:val="002D19A4"/>
    <w:rsid w:val="002E0DDF"/>
    <w:rsid w:val="002E2906"/>
    <w:rsid w:val="002E5635"/>
    <w:rsid w:val="002E64C3"/>
    <w:rsid w:val="002E6A2C"/>
    <w:rsid w:val="002F035E"/>
    <w:rsid w:val="002F0FE8"/>
    <w:rsid w:val="002F1D8C"/>
    <w:rsid w:val="002F21DA"/>
    <w:rsid w:val="00301F39"/>
    <w:rsid w:val="00303D27"/>
    <w:rsid w:val="00325926"/>
    <w:rsid w:val="00327A8A"/>
    <w:rsid w:val="003339A3"/>
    <w:rsid w:val="00336610"/>
    <w:rsid w:val="00343F73"/>
    <w:rsid w:val="00345060"/>
    <w:rsid w:val="003451FB"/>
    <w:rsid w:val="00352629"/>
    <w:rsid w:val="0035323B"/>
    <w:rsid w:val="00353D19"/>
    <w:rsid w:val="003609D2"/>
    <w:rsid w:val="00363F22"/>
    <w:rsid w:val="00366DEE"/>
    <w:rsid w:val="00375564"/>
    <w:rsid w:val="00383191"/>
    <w:rsid w:val="00386DED"/>
    <w:rsid w:val="003912E7"/>
    <w:rsid w:val="00393947"/>
    <w:rsid w:val="00395141"/>
    <w:rsid w:val="003A2275"/>
    <w:rsid w:val="003A59E6"/>
    <w:rsid w:val="003A6A4F"/>
    <w:rsid w:val="003A7088"/>
    <w:rsid w:val="003B00DF"/>
    <w:rsid w:val="003B1275"/>
    <w:rsid w:val="003B1778"/>
    <w:rsid w:val="003C11CB"/>
    <w:rsid w:val="003C3017"/>
    <w:rsid w:val="003C75F3"/>
    <w:rsid w:val="003C78A3"/>
    <w:rsid w:val="003E1867"/>
    <w:rsid w:val="003E5729"/>
    <w:rsid w:val="003F22BB"/>
    <w:rsid w:val="003F4EE0"/>
    <w:rsid w:val="00402153"/>
    <w:rsid w:val="00402FC1"/>
    <w:rsid w:val="00425082"/>
    <w:rsid w:val="00425797"/>
    <w:rsid w:val="00431DEB"/>
    <w:rsid w:val="00446B29"/>
    <w:rsid w:val="00453F9A"/>
    <w:rsid w:val="00464903"/>
    <w:rsid w:val="00471E91"/>
    <w:rsid w:val="00474079"/>
    <w:rsid w:val="00474675"/>
    <w:rsid w:val="0047470C"/>
    <w:rsid w:val="004A203E"/>
    <w:rsid w:val="004A35F9"/>
    <w:rsid w:val="004B24C1"/>
    <w:rsid w:val="004B3092"/>
    <w:rsid w:val="004B49B1"/>
    <w:rsid w:val="004C292F"/>
    <w:rsid w:val="004D306F"/>
    <w:rsid w:val="004E5A47"/>
    <w:rsid w:val="00510280"/>
    <w:rsid w:val="00513D73"/>
    <w:rsid w:val="00514A43"/>
    <w:rsid w:val="005174E5"/>
    <w:rsid w:val="00520898"/>
    <w:rsid w:val="00522393"/>
    <w:rsid w:val="00522620"/>
    <w:rsid w:val="00525656"/>
    <w:rsid w:val="00525BF3"/>
    <w:rsid w:val="00534C02"/>
    <w:rsid w:val="0054016C"/>
    <w:rsid w:val="0054044C"/>
    <w:rsid w:val="0054264B"/>
    <w:rsid w:val="00543786"/>
    <w:rsid w:val="00546D0D"/>
    <w:rsid w:val="0055153A"/>
    <w:rsid w:val="005533D7"/>
    <w:rsid w:val="00554B63"/>
    <w:rsid w:val="0056544B"/>
    <w:rsid w:val="005703DE"/>
    <w:rsid w:val="00582BBE"/>
    <w:rsid w:val="0058464E"/>
    <w:rsid w:val="005A01CB"/>
    <w:rsid w:val="005A58FF"/>
    <w:rsid w:val="005A5EAF"/>
    <w:rsid w:val="005A64C0"/>
    <w:rsid w:val="005B3C11"/>
    <w:rsid w:val="005C1C28"/>
    <w:rsid w:val="005C6DB5"/>
    <w:rsid w:val="005E19E7"/>
    <w:rsid w:val="00601622"/>
    <w:rsid w:val="00613FAA"/>
    <w:rsid w:val="0061716C"/>
    <w:rsid w:val="00617868"/>
    <w:rsid w:val="006243A1"/>
    <w:rsid w:val="00632E56"/>
    <w:rsid w:val="00635CBA"/>
    <w:rsid w:val="0064338B"/>
    <w:rsid w:val="00646542"/>
    <w:rsid w:val="006504F4"/>
    <w:rsid w:val="0065366F"/>
    <w:rsid w:val="00654BC9"/>
    <w:rsid w:val="006552FD"/>
    <w:rsid w:val="00656F0B"/>
    <w:rsid w:val="00663733"/>
    <w:rsid w:val="00663AF3"/>
    <w:rsid w:val="00666B6C"/>
    <w:rsid w:val="00682682"/>
    <w:rsid w:val="00682702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A13"/>
    <w:rsid w:val="006D0D60"/>
    <w:rsid w:val="006D1122"/>
    <w:rsid w:val="006D317E"/>
    <w:rsid w:val="006D3B1E"/>
    <w:rsid w:val="006D3C00"/>
    <w:rsid w:val="006E3675"/>
    <w:rsid w:val="006E4A7F"/>
    <w:rsid w:val="00704DF6"/>
    <w:rsid w:val="0070651C"/>
    <w:rsid w:val="007132A3"/>
    <w:rsid w:val="00716421"/>
    <w:rsid w:val="00721419"/>
    <w:rsid w:val="00724EFB"/>
    <w:rsid w:val="0072596D"/>
    <w:rsid w:val="00730310"/>
    <w:rsid w:val="007419C3"/>
    <w:rsid w:val="007467A7"/>
    <w:rsid w:val="007469DD"/>
    <w:rsid w:val="0074741B"/>
    <w:rsid w:val="0074759E"/>
    <w:rsid w:val="007478EA"/>
    <w:rsid w:val="0075415C"/>
    <w:rsid w:val="00757097"/>
    <w:rsid w:val="00763502"/>
    <w:rsid w:val="007913AB"/>
    <w:rsid w:val="007914F7"/>
    <w:rsid w:val="00791CE4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2D74"/>
    <w:rsid w:val="007F3FB7"/>
    <w:rsid w:val="007F4CF1"/>
    <w:rsid w:val="007F758D"/>
    <w:rsid w:val="007F7D52"/>
    <w:rsid w:val="008027A4"/>
    <w:rsid w:val="0080484A"/>
    <w:rsid w:val="00805589"/>
    <w:rsid w:val="0080654C"/>
    <w:rsid w:val="008071C6"/>
    <w:rsid w:val="00817A00"/>
    <w:rsid w:val="00820B95"/>
    <w:rsid w:val="00831631"/>
    <w:rsid w:val="00835DB3"/>
    <w:rsid w:val="0083617B"/>
    <w:rsid w:val="00836342"/>
    <w:rsid w:val="00836A2D"/>
    <w:rsid w:val="008371BD"/>
    <w:rsid w:val="008504A8"/>
    <w:rsid w:val="00851B58"/>
    <w:rsid w:val="0085282E"/>
    <w:rsid w:val="0087198C"/>
    <w:rsid w:val="00872C1F"/>
    <w:rsid w:val="00873B42"/>
    <w:rsid w:val="00880D1A"/>
    <w:rsid w:val="008856D8"/>
    <w:rsid w:val="00892E82"/>
    <w:rsid w:val="00893277"/>
    <w:rsid w:val="008A1035"/>
    <w:rsid w:val="008A6E08"/>
    <w:rsid w:val="008C1B58"/>
    <w:rsid w:val="008C39AE"/>
    <w:rsid w:val="008C40DF"/>
    <w:rsid w:val="008C590D"/>
    <w:rsid w:val="008D7566"/>
    <w:rsid w:val="008E031B"/>
    <w:rsid w:val="008E7029"/>
    <w:rsid w:val="008E7EF6"/>
    <w:rsid w:val="008F1F98"/>
    <w:rsid w:val="008F2790"/>
    <w:rsid w:val="008F6758"/>
    <w:rsid w:val="009040DD"/>
    <w:rsid w:val="00905B47"/>
    <w:rsid w:val="00911391"/>
    <w:rsid w:val="0091331C"/>
    <w:rsid w:val="009137BD"/>
    <w:rsid w:val="009279DE"/>
    <w:rsid w:val="00930116"/>
    <w:rsid w:val="0094212C"/>
    <w:rsid w:val="0095378C"/>
    <w:rsid w:val="00954689"/>
    <w:rsid w:val="009617C9"/>
    <w:rsid w:val="00961C93"/>
    <w:rsid w:val="00965324"/>
    <w:rsid w:val="0097091E"/>
    <w:rsid w:val="009760D3"/>
    <w:rsid w:val="00977132"/>
    <w:rsid w:val="00981A4B"/>
    <w:rsid w:val="00982250"/>
    <w:rsid w:val="00982501"/>
    <w:rsid w:val="009877D3"/>
    <w:rsid w:val="00994E8F"/>
    <w:rsid w:val="009951DC"/>
    <w:rsid w:val="009959BB"/>
    <w:rsid w:val="00997158"/>
    <w:rsid w:val="009A3A7C"/>
    <w:rsid w:val="009A5D33"/>
    <w:rsid w:val="009B2323"/>
    <w:rsid w:val="009B2ADB"/>
    <w:rsid w:val="009B603A"/>
    <w:rsid w:val="009C2D0E"/>
    <w:rsid w:val="009C3DAC"/>
    <w:rsid w:val="009C42E0"/>
    <w:rsid w:val="009D5362"/>
    <w:rsid w:val="009E1415"/>
    <w:rsid w:val="009E6116"/>
    <w:rsid w:val="009E7E25"/>
    <w:rsid w:val="00A02E43"/>
    <w:rsid w:val="00A05368"/>
    <w:rsid w:val="00A065F9"/>
    <w:rsid w:val="00A07011"/>
    <w:rsid w:val="00A07204"/>
    <w:rsid w:val="00A07F34"/>
    <w:rsid w:val="00A22154"/>
    <w:rsid w:val="00A24058"/>
    <w:rsid w:val="00A25C38"/>
    <w:rsid w:val="00A36BBE"/>
    <w:rsid w:val="00A37C20"/>
    <w:rsid w:val="00A40D9E"/>
    <w:rsid w:val="00A42ECA"/>
    <w:rsid w:val="00A4307A"/>
    <w:rsid w:val="00A47EBB"/>
    <w:rsid w:val="00A51CDD"/>
    <w:rsid w:val="00A56BBA"/>
    <w:rsid w:val="00A6730D"/>
    <w:rsid w:val="00A71625"/>
    <w:rsid w:val="00A71B9B"/>
    <w:rsid w:val="00A751C7"/>
    <w:rsid w:val="00A87844"/>
    <w:rsid w:val="00AA038C"/>
    <w:rsid w:val="00AA7A09"/>
    <w:rsid w:val="00AB3B50"/>
    <w:rsid w:val="00AC05B1"/>
    <w:rsid w:val="00AC2539"/>
    <w:rsid w:val="00AD356C"/>
    <w:rsid w:val="00AE2914"/>
    <w:rsid w:val="00AE6D15"/>
    <w:rsid w:val="00AE78AA"/>
    <w:rsid w:val="00AF1F49"/>
    <w:rsid w:val="00B04182"/>
    <w:rsid w:val="00B05ECF"/>
    <w:rsid w:val="00B07AE3"/>
    <w:rsid w:val="00B11430"/>
    <w:rsid w:val="00B242F4"/>
    <w:rsid w:val="00B24D1C"/>
    <w:rsid w:val="00B30481"/>
    <w:rsid w:val="00B353EB"/>
    <w:rsid w:val="00B4016F"/>
    <w:rsid w:val="00B407AC"/>
    <w:rsid w:val="00B439C4"/>
    <w:rsid w:val="00B4535E"/>
    <w:rsid w:val="00B52A8C"/>
    <w:rsid w:val="00B54707"/>
    <w:rsid w:val="00B62F11"/>
    <w:rsid w:val="00B636A8"/>
    <w:rsid w:val="00B665C6"/>
    <w:rsid w:val="00B758A5"/>
    <w:rsid w:val="00B805AF"/>
    <w:rsid w:val="00B869EC"/>
    <w:rsid w:val="00B9397A"/>
    <w:rsid w:val="00B9633D"/>
    <w:rsid w:val="00BA2EBE"/>
    <w:rsid w:val="00BB0F28"/>
    <w:rsid w:val="00BB458A"/>
    <w:rsid w:val="00BD00D3"/>
    <w:rsid w:val="00BD1659"/>
    <w:rsid w:val="00BD3AA9"/>
    <w:rsid w:val="00BD40FC"/>
    <w:rsid w:val="00BD4A18"/>
    <w:rsid w:val="00BD6DB2"/>
    <w:rsid w:val="00BD73A1"/>
    <w:rsid w:val="00BE11CF"/>
    <w:rsid w:val="00BE21AB"/>
    <w:rsid w:val="00BE55CB"/>
    <w:rsid w:val="00BE7067"/>
    <w:rsid w:val="00BF617A"/>
    <w:rsid w:val="00C0379D"/>
    <w:rsid w:val="00C03931"/>
    <w:rsid w:val="00C05FE3"/>
    <w:rsid w:val="00C2136D"/>
    <w:rsid w:val="00C214EE"/>
    <w:rsid w:val="00C2314B"/>
    <w:rsid w:val="00C24971"/>
    <w:rsid w:val="00C24D18"/>
    <w:rsid w:val="00C25355"/>
    <w:rsid w:val="00C26BE5"/>
    <w:rsid w:val="00C26E4D"/>
    <w:rsid w:val="00C27909"/>
    <w:rsid w:val="00C27B03"/>
    <w:rsid w:val="00C314E1"/>
    <w:rsid w:val="00C34397"/>
    <w:rsid w:val="00C40503"/>
    <w:rsid w:val="00C4095D"/>
    <w:rsid w:val="00C601D2"/>
    <w:rsid w:val="00C65BCC"/>
    <w:rsid w:val="00C66970"/>
    <w:rsid w:val="00C8691C"/>
    <w:rsid w:val="00CA168A"/>
    <w:rsid w:val="00CA2097"/>
    <w:rsid w:val="00CA291C"/>
    <w:rsid w:val="00CA357E"/>
    <w:rsid w:val="00CA44F9"/>
    <w:rsid w:val="00CA4A69"/>
    <w:rsid w:val="00CC3E0C"/>
    <w:rsid w:val="00CC58D3"/>
    <w:rsid w:val="00CC784D"/>
    <w:rsid w:val="00D0337B"/>
    <w:rsid w:val="00D07777"/>
    <w:rsid w:val="00D079B2"/>
    <w:rsid w:val="00D114E9"/>
    <w:rsid w:val="00D17CD8"/>
    <w:rsid w:val="00D313B3"/>
    <w:rsid w:val="00D429C6"/>
    <w:rsid w:val="00D47748"/>
    <w:rsid w:val="00D54CC3"/>
    <w:rsid w:val="00D6041A"/>
    <w:rsid w:val="00D633EB"/>
    <w:rsid w:val="00D71264"/>
    <w:rsid w:val="00D82FF7"/>
    <w:rsid w:val="00D847FE"/>
    <w:rsid w:val="00D86B9C"/>
    <w:rsid w:val="00D90A39"/>
    <w:rsid w:val="00D939D3"/>
    <w:rsid w:val="00D964EA"/>
    <w:rsid w:val="00D966D0"/>
    <w:rsid w:val="00DA0C59"/>
    <w:rsid w:val="00DA3991"/>
    <w:rsid w:val="00DA72A1"/>
    <w:rsid w:val="00DA7425"/>
    <w:rsid w:val="00DA7F95"/>
    <w:rsid w:val="00DB7E6C"/>
    <w:rsid w:val="00DD252A"/>
    <w:rsid w:val="00DD5A29"/>
    <w:rsid w:val="00DD5D9D"/>
    <w:rsid w:val="00DE35CB"/>
    <w:rsid w:val="00DE3670"/>
    <w:rsid w:val="00DF0EF0"/>
    <w:rsid w:val="00DF21E9"/>
    <w:rsid w:val="00DF22C7"/>
    <w:rsid w:val="00E00F14"/>
    <w:rsid w:val="00E04605"/>
    <w:rsid w:val="00E06386"/>
    <w:rsid w:val="00E075C5"/>
    <w:rsid w:val="00E11668"/>
    <w:rsid w:val="00E122B7"/>
    <w:rsid w:val="00E24EB4"/>
    <w:rsid w:val="00E320ED"/>
    <w:rsid w:val="00E33AFB"/>
    <w:rsid w:val="00E34218"/>
    <w:rsid w:val="00E46282"/>
    <w:rsid w:val="00E5216E"/>
    <w:rsid w:val="00E657C6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1C71"/>
    <w:rsid w:val="00EB275A"/>
    <w:rsid w:val="00EB57CA"/>
    <w:rsid w:val="00EB786A"/>
    <w:rsid w:val="00EC1578"/>
    <w:rsid w:val="00EC1BFC"/>
    <w:rsid w:val="00EC1C72"/>
    <w:rsid w:val="00EC3CC9"/>
    <w:rsid w:val="00EC680A"/>
    <w:rsid w:val="00EE25CB"/>
    <w:rsid w:val="00EE2BED"/>
    <w:rsid w:val="00EE2EA5"/>
    <w:rsid w:val="00EE374B"/>
    <w:rsid w:val="00EF2869"/>
    <w:rsid w:val="00F11BB5"/>
    <w:rsid w:val="00F1417B"/>
    <w:rsid w:val="00F17A17"/>
    <w:rsid w:val="00F208A0"/>
    <w:rsid w:val="00F2115E"/>
    <w:rsid w:val="00F30ABD"/>
    <w:rsid w:val="00F34B99"/>
    <w:rsid w:val="00F51CF2"/>
    <w:rsid w:val="00F52DAB"/>
    <w:rsid w:val="00F543F0"/>
    <w:rsid w:val="00F55E3E"/>
    <w:rsid w:val="00F57601"/>
    <w:rsid w:val="00F73F99"/>
    <w:rsid w:val="00F81D29"/>
    <w:rsid w:val="00F90BE5"/>
    <w:rsid w:val="00F91C4D"/>
    <w:rsid w:val="00F92FD9"/>
    <w:rsid w:val="00FA5EF7"/>
    <w:rsid w:val="00FA6684"/>
    <w:rsid w:val="00FA731E"/>
    <w:rsid w:val="00FA7BD0"/>
    <w:rsid w:val="00FB1DCF"/>
    <w:rsid w:val="00FB2B38"/>
    <w:rsid w:val="00FC6358"/>
    <w:rsid w:val="00FD320D"/>
    <w:rsid w:val="00FE1B98"/>
    <w:rsid w:val="00FE23DE"/>
    <w:rsid w:val="17A10B77"/>
    <w:rsid w:val="28DA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4A177A-2341-45B7-AF63-04A427B0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semiHidden/>
    <w:rPr>
      <w:vertAlign w:val="superscript"/>
    </w:rPr>
  </w:style>
  <w:style w:type="character" w:styleId="a4">
    <w:name w:val="FollowedHyperlink"/>
    <w:rPr>
      <w:color w:val="800080"/>
      <w:u w:val="single"/>
    </w:rPr>
  </w:style>
  <w:style w:type="character" w:styleId="a5">
    <w:name w:val="Hyperlink"/>
    <w:rPr>
      <w:color w:val="0000FF"/>
      <w:spacing w:val="0"/>
      <w:w w:val="100"/>
      <w:szCs w:val="21"/>
      <w:u w:val="single"/>
      <w:lang w:val="en-US" w:eastAsia="zh-CN"/>
    </w:rPr>
  </w:style>
  <w:style w:type="character" w:styleId="a6">
    <w:name w:val="page number"/>
    <w:rPr>
      <w:rFonts w:ascii="Times New Roman" w:eastAsia="宋体" w:hAnsi="Times New Roman"/>
      <w:sz w:val="18"/>
    </w:rPr>
  </w:style>
  <w:style w:type="character" w:styleId="a7">
    <w:name w:val="footnote reference"/>
    <w:semiHidden/>
    <w:rPr>
      <w:vertAlign w:val="superscript"/>
    </w:rPr>
  </w:style>
  <w:style w:type="character" w:customStyle="1" w:styleId="Char">
    <w:name w:val="段 Char"/>
    <w:link w:val="a8"/>
    <w:rPr>
      <w:rFonts w:ascii="宋体"/>
      <w:sz w:val="21"/>
      <w:lang w:val="en-US" w:eastAsia="zh-CN" w:bidi="ar-SA"/>
    </w:rPr>
  </w:style>
  <w:style w:type="character" w:customStyle="1" w:styleId="a9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0">
    <w:name w:val="附录公式 Char"/>
    <w:basedOn w:val="Char"/>
    <w:link w:val="aa"/>
    <w:rPr>
      <w:rFonts w:ascii="宋体"/>
      <w:sz w:val="21"/>
      <w:lang w:val="en-US" w:eastAsia="zh-CN" w:bidi="ar-SA"/>
    </w:rPr>
  </w:style>
  <w:style w:type="character" w:customStyle="1" w:styleId="Char1">
    <w:name w:val="首示例 Char"/>
    <w:link w:val="ab"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Char2">
    <w:name w:val="批注框文本 Char"/>
    <w:link w:val="ac"/>
    <w:rPr>
      <w:kern w:val="2"/>
      <w:sz w:val="18"/>
      <w:szCs w:val="18"/>
    </w:rPr>
  </w:style>
  <w:style w:type="paragraph" w:styleId="4">
    <w:name w:val="toc 4"/>
    <w:basedOn w:val="a"/>
    <w:next w:val="a"/>
    <w:semiHidden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"/>
    <w:next w:val="a"/>
    <w:semiHidden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ad">
    <w:name w:val="header"/>
    <w:basedOn w:val="a"/>
    <w:pPr>
      <w:snapToGrid w:val="0"/>
      <w:jc w:val="left"/>
    </w:pPr>
    <w:rPr>
      <w:sz w:val="18"/>
      <w:szCs w:val="18"/>
    </w:rPr>
  </w:style>
  <w:style w:type="paragraph" w:styleId="40">
    <w:name w:val="index 4"/>
    <w:basedOn w:val="a"/>
    <w:next w:val="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6">
    <w:name w:val="index 6"/>
    <w:basedOn w:val="a"/>
    <w:next w:val="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semiHidden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ae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f">
    <w:name w:val="Document Map"/>
    <w:basedOn w:val="a"/>
    <w:semiHidden/>
    <w:pPr>
      <w:shd w:val="clear" w:color="auto" w:fill="000080"/>
    </w:pPr>
  </w:style>
  <w:style w:type="paragraph" w:styleId="50">
    <w:name w:val="index 5"/>
    <w:basedOn w:val="a"/>
    <w:next w:val="a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8">
    <w:name w:val="index 8"/>
    <w:basedOn w:val="a"/>
    <w:next w:val="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semiHidden/>
    <w:pPr>
      <w:snapToGrid w:val="0"/>
      <w:jc w:val="left"/>
    </w:pPr>
  </w:style>
  <w:style w:type="paragraph" w:styleId="3">
    <w:name w:val="toc 3"/>
    <w:basedOn w:val="a"/>
    <w:next w:val="a"/>
    <w:semiHidden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1">
    <w:name w:val="toc 1"/>
    <w:basedOn w:val="a"/>
    <w:next w:val="a"/>
    <w:semiHidden/>
    <w:pPr>
      <w:tabs>
        <w:tab w:val="right" w:leader="dot" w:pos="9242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af1">
    <w:name w:val="footer"/>
    <w:basedOn w:val="a"/>
    <w:pPr>
      <w:snapToGrid w:val="0"/>
      <w:ind w:rightChars="100" w:right="210"/>
      <w:jc w:val="right"/>
    </w:pPr>
    <w:rPr>
      <w:sz w:val="18"/>
      <w:szCs w:val="18"/>
    </w:rPr>
  </w:style>
  <w:style w:type="paragraph" w:styleId="80">
    <w:name w:val="toc 8"/>
    <w:basedOn w:val="a"/>
    <w:next w:val="a"/>
    <w:semiHidden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af2">
    <w:name w:val="index heading"/>
    <w:basedOn w:val="a"/>
    <w:next w:val="1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c">
    <w:name w:val="Balloon Text"/>
    <w:basedOn w:val="a"/>
    <w:link w:val="Char2"/>
    <w:rPr>
      <w:sz w:val="18"/>
      <w:szCs w:val="18"/>
    </w:rPr>
  </w:style>
  <w:style w:type="paragraph" w:styleId="30">
    <w:name w:val="index 3"/>
    <w:basedOn w:val="a"/>
    <w:next w:val="a"/>
    <w:pPr>
      <w:ind w:left="630" w:hanging="210"/>
      <w:jc w:val="left"/>
    </w:pPr>
    <w:rPr>
      <w:rFonts w:ascii="Calibri" w:hAnsi="Calibri"/>
      <w:sz w:val="20"/>
      <w:szCs w:val="20"/>
    </w:rPr>
  </w:style>
  <w:style w:type="paragraph" w:customStyle="1" w:styleId="af3">
    <w:name w:val="三级条标题"/>
    <w:basedOn w:val="af4"/>
    <w:next w:val="a8"/>
    <w:pPr>
      <w:numPr>
        <w:ilvl w:val="3"/>
      </w:numPr>
      <w:outlineLvl w:val="4"/>
    </w:pPr>
  </w:style>
  <w:style w:type="paragraph" w:styleId="2">
    <w:name w:val="toc 2"/>
    <w:basedOn w:val="a"/>
    <w:next w:val="a"/>
    <w:semiHidden/>
    <w:pPr>
      <w:tabs>
        <w:tab w:val="right" w:leader="dot" w:pos="9242"/>
      </w:tabs>
    </w:pPr>
    <w:rPr>
      <w:rFonts w:ascii="宋体"/>
      <w:szCs w:val="21"/>
    </w:rPr>
  </w:style>
  <w:style w:type="paragraph" w:styleId="10">
    <w:name w:val="index 1"/>
    <w:basedOn w:val="a"/>
    <w:next w:val="a8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8">
    <w:name w:val="段"/>
    <w:link w:val="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9">
    <w:name w:val="index 9"/>
    <w:basedOn w:val="a"/>
    <w:next w:val="a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5">
    <w:name w:val="footnote text"/>
    <w:basedOn w:val="a"/>
    <w:pPr>
      <w:numPr>
        <w:numId w:val="2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"/>
    <w:next w:val="a"/>
    <w:semiHidden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20">
    <w:name w:val="index 2"/>
    <w:basedOn w:val="a"/>
    <w:next w:val="a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90">
    <w:name w:val="toc 9"/>
    <w:basedOn w:val="a"/>
    <w:next w:val="a"/>
    <w:semiHidden/>
    <w:pPr>
      <w:ind w:left="1470"/>
      <w:jc w:val="left"/>
    </w:pPr>
    <w:rPr>
      <w:sz w:val="20"/>
      <w:szCs w:val="20"/>
    </w:rPr>
  </w:style>
  <w:style w:type="paragraph" w:styleId="70">
    <w:name w:val="index 7"/>
    <w:basedOn w:val="a"/>
    <w:next w:val="a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af6">
    <w:name w:val="示例内容"/>
    <w:pPr>
      <w:ind w:firstLineChars="200" w:firstLine="200"/>
    </w:pPr>
    <w:rPr>
      <w:rFonts w:ascii="宋体"/>
      <w:sz w:val="18"/>
      <w:szCs w:val="18"/>
    </w:rPr>
  </w:style>
  <w:style w:type="paragraph" w:customStyle="1" w:styleId="af7">
    <w:name w:val="注×：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8">
    <w:name w:val="一级条标题"/>
    <w:next w:val="a8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9">
    <w:name w:val="章标题"/>
    <w:next w:val="a8"/>
    <w:pPr>
      <w:numPr>
        <w:numId w:val="1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a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b">
    <w:name w:val="发布部门"/>
    <w:next w:val="a8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c">
    <w:name w:val="注×：（正文）"/>
    <w:pPr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d">
    <w:name w:val="标准书脚_偶数页"/>
    <w:pPr>
      <w:spacing w:before="120"/>
      <w:ind w:left="221"/>
    </w:pPr>
    <w:rPr>
      <w:rFonts w:ascii="宋体"/>
      <w:sz w:val="18"/>
      <w:szCs w:val="18"/>
    </w:rPr>
  </w:style>
  <w:style w:type="paragraph" w:customStyle="1" w:styleId="afe">
    <w:name w:val="编号列项（三级）"/>
    <w:pPr>
      <w:numPr>
        <w:ilvl w:val="2"/>
        <w:numId w:val="5"/>
      </w:numPr>
      <w:tabs>
        <w:tab w:val="left" w:pos="0"/>
      </w:tabs>
    </w:pPr>
    <w:rPr>
      <w:rFonts w:ascii="宋体"/>
      <w:sz w:val="21"/>
    </w:rPr>
  </w:style>
  <w:style w:type="paragraph" w:customStyle="1" w:styleId="aff">
    <w:name w:val="注："/>
    <w:next w:val="a8"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0">
    <w:name w:val="标准书眉_奇数页"/>
    <w:next w:val="a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4">
    <w:name w:val="二级条标题"/>
    <w:basedOn w:val="af8"/>
    <w:next w:val="a8"/>
    <w:pPr>
      <w:numPr>
        <w:ilvl w:val="2"/>
      </w:numPr>
      <w:spacing w:before="50" w:after="50"/>
      <w:outlineLvl w:val="3"/>
    </w:pPr>
  </w:style>
  <w:style w:type="paragraph" w:customStyle="1" w:styleId="aff1">
    <w:name w:val="标准书眉一"/>
    <w:pPr>
      <w:jc w:val="both"/>
    </w:pPr>
  </w:style>
  <w:style w:type="paragraph" w:customStyle="1" w:styleId="aff2">
    <w:name w:val="注：（正文）"/>
    <w:basedOn w:val="aff"/>
    <w:next w:val="a8"/>
  </w:style>
  <w:style w:type="paragraph" w:customStyle="1" w:styleId="aff3">
    <w:name w:val="示例×："/>
    <w:basedOn w:val="af9"/>
    <w:qFormat/>
    <w:pPr>
      <w:numPr>
        <w:numId w:val="7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4">
    <w:name w:val="标准标志"/>
    <w:next w:val="a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5">
    <w:name w:val="发布日期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6">
    <w:name w:val="参考文献"/>
    <w:basedOn w:val="a"/>
    <w:next w:val="a8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7">
    <w:name w:val="标准书眉_偶数页"/>
    <w:basedOn w:val="aff0"/>
    <w:next w:val="a"/>
    <w:pPr>
      <w:jc w:val="left"/>
    </w:pPr>
  </w:style>
  <w:style w:type="paragraph" w:customStyle="1" w:styleId="aff8">
    <w:name w:val="列项●（二级）"/>
    <w:pPr>
      <w:numPr>
        <w:ilvl w:val="1"/>
        <w:numId w:val="8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数字编号列项（二级）"/>
    <w:pPr>
      <w:numPr>
        <w:ilvl w:val="1"/>
        <w:numId w:val="5"/>
      </w:numPr>
      <w:tabs>
        <w:tab w:val="left" w:pos="1259"/>
      </w:tabs>
      <w:jc w:val="both"/>
    </w:pPr>
    <w:rPr>
      <w:rFonts w:ascii="宋体"/>
      <w:sz w:val="21"/>
    </w:rPr>
  </w:style>
  <w:style w:type="paragraph" w:customStyle="1" w:styleId="affa">
    <w:name w:val="列项——（一级）"/>
    <w:pPr>
      <w:widowControl w:val="0"/>
      <w:numPr>
        <w:numId w:val="8"/>
      </w:numPr>
      <w:jc w:val="both"/>
    </w:pPr>
    <w:rPr>
      <w:rFonts w:ascii="宋体"/>
      <w:sz w:val="21"/>
    </w:rPr>
  </w:style>
  <w:style w:type="paragraph" w:customStyle="1" w:styleId="affb">
    <w:name w:val="标准称谓"/>
    <w:next w:val="a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c">
    <w:name w:val="列项◆（三级）"/>
    <w:basedOn w:val="a"/>
    <w:pPr>
      <w:numPr>
        <w:ilvl w:val="2"/>
        <w:numId w:val="8"/>
      </w:numPr>
      <w:tabs>
        <w:tab w:val="left" w:pos="1678"/>
      </w:tabs>
    </w:pPr>
    <w:rPr>
      <w:rFonts w:ascii="宋体"/>
      <w:szCs w:val="21"/>
    </w:rPr>
  </w:style>
  <w:style w:type="paragraph" w:customStyle="1" w:styleId="affd">
    <w:name w:val="二级无"/>
    <w:basedOn w:val="af4"/>
    <w:pPr>
      <w:spacing w:beforeLines="0" w:before="0" w:afterLines="0" w:after="0"/>
    </w:pPr>
    <w:rPr>
      <w:rFonts w:ascii="宋体" w:eastAsia="宋体"/>
    </w:rPr>
  </w:style>
  <w:style w:type="paragraph" w:customStyle="1" w:styleId="affe">
    <w:name w:val="五级条标题"/>
    <w:basedOn w:val="afff"/>
    <w:next w:val="a8"/>
    <w:pPr>
      <w:numPr>
        <w:ilvl w:val="5"/>
      </w:numPr>
      <w:outlineLvl w:val="6"/>
    </w:pPr>
  </w:style>
  <w:style w:type="paragraph" w:customStyle="1" w:styleId="afff0">
    <w:name w:val="目次、标准名称标题"/>
    <w:basedOn w:val="a"/>
    <w:next w:val="a8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1">
    <w:name w:val="示例"/>
    <w:next w:val="af6"/>
    <w:pPr>
      <w:widowControl w:val="0"/>
      <w:numPr>
        <w:numId w:val="9"/>
      </w:numPr>
      <w:jc w:val="both"/>
    </w:pPr>
    <w:rPr>
      <w:rFonts w:ascii="宋体"/>
      <w:sz w:val="18"/>
      <w:szCs w:val="18"/>
    </w:rPr>
  </w:style>
  <w:style w:type="paragraph" w:customStyle="1" w:styleId="afff2">
    <w:name w:val="字母编号列项（一级）"/>
    <w:pPr>
      <w:numPr>
        <w:numId w:val="5"/>
      </w:numPr>
      <w:tabs>
        <w:tab w:val="left" w:pos="839"/>
      </w:tabs>
      <w:jc w:val="both"/>
    </w:pPr>
    <w:rPr>
      <w:rFonts w:ascii="宋体"/>
      <w:sz w:val="21"/>
    </w:rPr>
  </w:style>
  <w:style w:type="paragraph" w:customStyle="1" w:styleId="afff">
    <w:name w:val="四级条标题"/>
    <w:basedOn w:val="af3"/>
    <w:next w:val="a8"/>
    <w:pPr>
      <w:numPr>
        <w:ilvl w:val="4"/>
      </w:numPr>
      <w:outlineLvl w:val="5"/>
    </w:pPr>
  </w:style>
  <w:style w:type="paragraph" w:customStyle="1" w:styleId="afff3">
    <w:name w:val="参考文献、索引标题"/>
    <w:basedOn w:val="a"/>
    <w:next w:val="a8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5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6">
    <w:name w:val="附录公式编号制表符"/>
    <w:basedOn w:val="a"/>
    <w:next w:val="a8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  <w:lang w:val="en-US" w:eastAsia="zh-CN"/>
    </w:rPr>
  </w:style>
  <w:style w:type="paragraph" w:customStyle="1" w:styleId="afff7">
    <w:name w:val="封面标准英文名称"/>
    <w:basedOn w:val="afff5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a">
    <w:name w:val="附录公式"/>
    <w:basedOn w:val="a8"/>
    <w:next w:val="a8"/>
    <w:link w:val="Char0"/>
    <w:qFormat/>
  </w:style>
  <w:style w:type="paragraph" w:customStyle="1" w:styleId="afff8">
    <w:name w:val="封面一致性程度标识"/>
    <w:basedOn w:val="afff7"/>
    <w:pPr>
      <w:framePr w:wrap="around"/>
      <w:spacing w:before="440"/>
    </w:pPr>
    <w:rPr>
      <w:rFonts w:ascii="宋体" w:eastAsia="宋体"/>
    </w:rPr>
  </w:style>
  <w:style w:type="paragraph" w:customStyle="1" w:styleId="afff9">
    <w:name w:val="封面标准文稿类别"/>
    <w:basedOn w:val="afff8"/>
    <w:pPr>
      <w:framePr w:wrap="around"/>
      <w:spacing w:after="160" w:line="240" w:lineRule="auto"/>
    </w:pPr>
    <w:rPr>
      <w:sz w:val="24"/>
    </w:rPr>
  </w:style>
  <w:style w:type="paragraph" w:customStyle="1" w:styleId="afffa">
    <w:name w:val="封面标准文稿编辑信息"/>
    <w:basedOn w:val="afff9"/>
    <w:pPr>
      <w:framePr w:wrap="around"/>
      <w:spacing w:before="180" w:line="180" w:lineRule="exact"/>
    </w:pPr>
    <w:rPr>
      <w:sz w:val="21"/>
    </w:rPr>
  </w:style>
  <w:style w:type="paragraph" w:customStyle="1" w:styleId="afffb">
    <w:name w:val="附录二级无"/>
    <w:basedOn w:val="afffc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d">
    <w:name w:val="封面正文"/>
    <w:pPr>
      <w:jc w:val="both"/>
    </w:pPr>
  </w:style>
  <w:style w:type="paragraph" w:customStyle="1" w:styleId="afffe">
    <w:name w:val="附录标识"/>
    <w:basedOn w:val="a"/>
    <w:next w:val="a8"/>
    <w:pPr>
      <w:keepNext/>
      <w:widowControl/>
      <w:numPr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">
    <w:name w:val="附录标题"/>
    <w:basedOn w:val="a8"/>
    <w:next w:val="a8"/>
    <w:pPr>
      <w:ind w:firstLineChars="0" w:firstLine="0"/>
      <w:jc w:val="center"/>
    </w:pPr>
    <w:rPr>
      <w:rFonts w:ascii="黑体" w:eastAsia="黑体"/>
    </w:rPr>
  </w:style>
  <w:style w:type="paragraph" w:customStyle="1" w:styleId="affff0">
    <w:name w:val="附录表标号"/>
    <w:basedOn w:val="a"/>
    <w:next w:val="a8"/>
    <w:pPr>
      <w:numPr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1">
    <w:name w:val="附录表标题"/>
    <w:basedOn w:val="a"/>
    <w:next w:val="a8"/>
    <w:pPr>
      <w:numPr>
        <w:ilvl w:val="1"/>
        <w:numId w:val="11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c">
    <w:name w:val="附录二级条标题"/>
    <w:basedOn w:val="a"/>
    <w:next w:val="a8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三级条标题"/>
    <w:basedOn w:val="afffc"/>
    <w:next w:val="a8"/>
    <w:pPr>
      <w:numPr>
        <w:ilvl w:val="4"/>
      </w:numPr>
      <w:outlineLvl w:val="4"/>
    </w:pPr>
  </w:style>
  <w:style w:type="paragraph" w:customStyle="1" w:styleId="affff3">
    <w:name w:val="附录三级无"/>
    <w:basedOn w:val="affff2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4">
    <w:name w:val="附录数字编号列项（二级）"/>
    <w:qFormat/>
    <w:pPr>
      <w:numPr>
        <w:ilvl w:val="1"/>
        <w:numId w:val="12"/>
      </w:numPr>
      <w:tabs>
        <w:tab w:val="left" w:pos="840"/>
      </w:tabs>
    </w:pPr>
    <w:rPr>
      <w:rFonts w:ascii="宋体"/>
      <w:sz w:val="21"/>
    </w:rPr>
  </w:style>
  <w:style w:type="paragraph" w:customStyle="1" w:styleId="affff5">
    <w:name w:val="附录四级条标题"/>
    <w:basedOn w:val="affff2"/>
    <w:next w:val="a8"/>
    <w:pPr>
      <w:numPr>
        <w:ilvl w:val="5"/>
      </w:numPr>
      <w:outlineLvl w:val="5"/>
    </w:pPr>
  </w:style>
  <w:style w:type="paragraph" w:customStyle="1" w:styleId="affff6">
    <w:name w:val="附录四级无"/>
    <w:basedOn w:val="affff5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7">
    <w:name w:val="附录图标号"/>
    <w:basedOn w:val="a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8">
    <w:name w:val="附录图标题"/>
    <w:basedOn w:val="a"/>
    <w:next w:val="a8"/>
    <w:pPr>
      <w:numPr>
        <w:ilvl w:val="1"/>
        <w:numId w:val="13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9">
    <w:name w:val="附录五级条标题"/>
    <w:basedOn w:val="affff5"/>
    <w:next w:val="a8"/>
    <w:pPr>
      <w:numPr>
        <w:ilvl w:val="6"/>
      </w:numPr>
      <w:outlineLvl w:val="6"/>
    </w:pPr>
  </w:style>
  <w:style w:type="paragraph" w:customStyle="1" w:styleId="affffa">
    <w:name w:val="附录五级无"/>
    <w:basedOn w:val="affff9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b">
    <w:name w:val="附录章标题"/>
    <w:next w:val="a8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c">
    <w:name w:val="附录一级条标题"/>
    <w:basedOn w:val="affffb"/>
    <w:next w:val="a8"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fffd">
    <w:name w:val="附录一级无"/>
    <w:basedOn w:val="affffc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e">
    <w:name w:val="附录字母编号列项（一级）"/>
    <w:qFormat/>
    <w:pPr>
      <w:numPr>
        <w:numId w:val="12"/>
      </w:numPr>
      <w:tabs>
        <w:tab w:val="left" w:pos="839"/>
      </w:tabs>
    </w:pPr>
    <w:rPr>
      <w:rFonts w:ascii="宋体"/>
      <w:sz w:val="21"/>
    </w:rPr>
  </w:style>
  <w:style w:type="paragraph" w:customStyle="1" w:styleId="22">
    <w:name w:val="封面一致性程度标识2"/>
    <w:basedOn w:val="afff8"/>
    <w:pPr>
      <w:framePr w:wrap="around" w:y="4469"/>
    </w:pPr>
  </w:style>
  <w:style w:type="paragraph" w:customStyle="1" w:styleId="afffff">
    <w:name w:val="列项说明"/>
    <w:basedOn w:val="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0">
    <w:name w:val="列项说明数字编号"/>
    <w:pPr>
      <w:ind w:leftChars="400" w:left="600" w:hangingChars="200" w:hanging="200"/>
    </w:pPr>
    <w:rPr>
      <w:rFonts w:ascii="宋体"/>
      <w:sz w:val="21"/>
    </w:rPr>
  </w:style>
  <w:style w:type="paragraph" w:customStyle="1" w:styleId="afffff1">
    <w:name w:val="图标脚注说明"/>
    <w:basedOn w:val="a8"/>
    <w:pPr>
      <w:ind w:left="840" w:firstLineChars="0" w:hanging="420"/>
    </w:pPr>
    <w:rPr>
      <w:sz w:val="18"/>
      <w:szCs w:val="18"/>
    </w:rPr>
  </w:style>
  <w:style w:type="paragraph" w:customStyle="1" w:styleId="afffff2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customStyle="1" w:styleId="afffff3">
    <w:name w:val="其他标准标志"/>
    <w:basedOn w:val="aff4"/>
    <w:pPr>
      <w:framePr w:w="6101" w:wrap="around" w:vAnchor="page" w:hAnchor="page" w:x="4673" w:y="942"/>
    </w:pPr>
    <w:rPr>
      <w:w w:val="130"/>
    </w:rPr>
  </w:style>
  <w:style w:type="paragraph" w:customStyle="1" w:styleId="afffff4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5">
    <w:name w:val="其他发布部门"/>
    <w:basedOn w:val="afb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6">
    <w:name w:val="前言、引言标题"/>
    <w:next w:val="a8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7">
    <w:name w:val="三级无"/>
    <w:basedOn w:val="af3"/>
    <w:pPr>
      <w:spacing w:beforeLines="0" w:before="0" w:afterLines="0" w:after="0"/>
    </w:pPr>
    <w:rPr>
      <w:rFonts w:ascii="宋体" w:eastAsia="宋体"/>
    </w:rPr>
  </w:style>
  <w:style w:type="paragraph" w:customStyle="1" w:styleId="afffff8">
    <w:name w:val="实施日期"/>
    <w:basedOn w:val="aff5"/>
    <w:pPr>
      <w:framePr w:wrap="around" w:vAnchor="page"/>
      <w:jc w:val="right"/>
    </w:pPr>
  </w:style>
  <w:style w:type="paragraph" w:customStyle="1" w:styleId="afffff9">
    <w:name w:val="示例后文字"/>
    <w:basedOn w:val="a8"/>
    <w:next w:val="a8"/>
    <w:qFormat/>
    <w:pPr>
      <w:ind w:firstLine="360"/>
    </w:pPr>
    <w:rPr>
      <w:sz w:val="18"/>
    </w:rPr>
  </w:style>
  <w:style w:type="paragraph" w:customStyle="1" w:styleId="ab">
    <w:name w:val="首示例"/>
    <w:next w:val="a8"/>
    <w:link w:val="Char1"/>
    <w:qFormat/>
    <w:pPr>
      <w:numPr>
        <w:numId w:val="14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Char3">
    <w:name w:val="Char"/>
    <w:basedOn w:val="a"/>
    <w:semiHidden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3">
    <w:name w:val="封面标准文稿编辑信息2"/>
    <w:basedOn w:val="afffa"/>
    <w:pPr>
      <w:framePr w:wrap="around" w:y="4469"/>
    </w:pPr>
  </w:style>
  <w:style w:type="paragraph" w:customStyle="1" w:styleId="afffffa">
    <w:name w:val="四级无"/>
    <w:basedOn w:val="afff"/>
    <w:pPr>
      <w:spacing w:beforeLines="0" w:before="0" w:afterLines="0" w:after="0"/>
    </w:pPr>
    <w:rPr>
      <w:rFonts w:ascii="宋体" w:eastAsia="宋体"/>
    </w:rPr>
  </w:style>
  <w:style w:type="paragraph" w:customStyle="1" w:styleId="afffffb">
    <w:name w:val="条文脚注"/>
    <w:basedOn w:val="af5"/>
    <w:pPr>
      <w:numPr>
        <w:numId w:val="0"/>
      </w:numPr>
      <w:tabs>
        <w:tab w:val="left" w:pos="0"/>
      </w:tabs>
      <w:jc w:val="both"/>
    </w:pPr>
  </w:style>
  <w:style w:type="paragraph" w:customStyle="1" w:styleId="afffffc">
    <w:name w:val="图表脚注说明"/>
    <w:basedOn w:val="a"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d">
    <w:name w:val="图的脚注"/>
    <w:next w:val="a8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e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ffe"/>
    <w:pPr>
      <w:spacing w:beforeLines="0" w:before="0" w:afterLines="0" w:after="0"/>
    </w:pPr>
    <w:rPr>
      <w:rFonts w:ascii="宋体" w:eastAsia="宋体"/>
    </w:rPr>
  </w:style>
  <w:style w:type="paragraph" w:customStyle="1" w:styleId="affffff0">
    <w:name w:val="一级无"/>
    <w:basedOn w:val="af8"/>
    <w:pPr>
      <w:spacing w:beforeLines="0" w:before="0" w:afterLines="0" w:after="0"/>
    </w:pPr>
    <w:rPr>
      <w:rFonts w:ascii="宋体" w:eastAsia="宋体"/>
    </w:rPr>
  </w:style>
  <w:style w:type="paragraph" w:customStyle="1" w:styleId="affffff1">
    <w:name w:val="正文表标题"/>
    <w:next w:val="a8"/>
    <w:pPr>
      <w:numPr>
        <w:numId w:val="16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8"/>
    <w:next w:val="a8"/>
    <w:qFormat/>
    <w:pPr>
      <w:ind w:firstLineChars="0" w:firstLine="0"/>
    </w:pPr>
  </w:style>
  <w:style w:type="paragraph" w:customStyle="1" w:styleId="affffff3">
    <w:name w:val="正文图标题"/>
    <w:next w:val="a8"/>
    <w:pPr>
      <w:numPr>
        <w:numId w:val="17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5"/>
    <w:pPr>
      <w:framePr w:wrap="around" w:vAnchor="page" w:x="1419"/>
    </w:pPr>
  </w:style>
  <w:style w:type="paragraph" w:customStyle="1" w:styleId="affffff6">
    <w:name w:val="其他实施日期"/>
    <w:basedOn w:val="afffff8"/>
    <w:pPr>
      <w:framePr w:wrap="around"/>
    </w:pPr>
  </w:style>
  <w:style w:type="paragraph" w:customStyle="1" w:styleId="24">
    <w:name w:val="封面标准名称2"/>
    <w:basedOn w:val="afff5"/>
    <w:pPr>
      <w:framePr w:wrap="around" w:y="4469"/>
      <w:spacing w:beforeLines="630" w:before="630"/>
    </w:pPr>
  </w:style>
  <w:style w:type="paragraph" w:customStyle="1" w:styleId="25">
    <w:name w:val="封面标准英文名称2"/>
    <w:basedOn w:val="afff7"/>
    <w:pPr>
      <w:framePr w:wrap="around" w:y="4469"/>
    </w:pPr>
  </w:style>
  <w:style w:type="paragraph" w:customStyle="1" w:styleId="26">
    <w:name w:val="封面标准文稿类别2"/>
    <w:basedOn w:val="afff9"/>
    <w:pPr>
      <w:framePr w:wrap="around" w:y="4469"/>
    </w:pPr>
  </w:style>
  <w:style w:type="table" w:styleId="affffff7">
    <w:name w:val="Table Grid"/>
    <w:basedOn w:val="a1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&#30424;2080408\2017&#24180;&#26631;&#20934;\&#30446;&#35270;&#27604;&#33394;\&#28034;&#23618;&#30446;&#35270;&#35780;&#23450;(&#24449;&#27714;&#24847;&#35265;&#31295;)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涂层目视评定(征求意见稿).dot</Template>
  <TotalTime>3</TotalTime>
  <Pages>1</Pages>
  <Words>1028</Words>
  <Characters>5862</Characters>
  <Application>Microsoft Office Word</Application>
  <DocSecurity>0</DocSecurity>
  <Lines>48</Lines>
  <Paragraphs>13</Paragraphs>
  <ScaleCrop>false</ScaleCrop>
  <Company>zle</Company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XiTongTianDi</dc:creator>
  <cp:keywords/>
  <dc:description/>
  <cp:lastModifiedBy>XiTongTianDi</cp:lastModifiedBy>
  <cp:revision>2</cp:revision>
  <cp:lastPrinted>2018-03-19T06:07:00Z</cp:lastPrinted>
  <dcterms:created xsi:type="dcterms:W3CDTF">2018-04-25T02:33:00Z</dcterms:created>
  <dcterms:modified xsi:type="dcterms:W3CDTF">2018-04-25T02:36:00Z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